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Across a source-backed repository of 36 AI-in-research cases (612 role × case codings), three procedural-validity roles — protocol-and-provenance architect, calibration architect, and accountability-and-labor allocator — co-occur as a </w:t>
      </w:r>
      <w:r>
        <w:rPr>
          <w:i/>
        </w:rPr>
        <w:t>durable</w:t>
      </w:r>
      <w:r>
        <w:t xml:space="preserve"> configuration in 12 of 36 cases, 1.52× the count expected under marginal independence (descriptive within-sample; procedural-prose-density and visibility-filter confounds bias the lift upward). This </w:t>
      </w:r>
      <w:r>
        <w:rPr>
          <w:i/>
        </w:rPr>
        <w:t>epistemic-guardian</w:t>
      </w:r>
      <w:r>
        <w:t xml:space="preserve"> signature is the paper's central descriptive finding. Three throughput clusters shrink in 40 observations: routine first-pass screening, high-consensus coding on ground-truth-rich tasks (including code-package repair), and structural prose polishing. Debate about AI in research is still often framed as a contest between humans and models; that framing is too coarse for this evidence. Three contributions follow: (1) recasting the 36-case repository as a role-system dataset; (2) a comparative typology distinguishing six role statuses (robust, conditional, transformed, shrinking, split pressure, merge pressure) with behaviorally-anchored mutually-exclusive coding within each (role × case) cell; and (3) the worked application reported here. The paper's claim ceiling is set at comparative typology audit, not validated theory of automated science. Inter-coder reliability on a pre-specified subsample failed the κ ≥ 0.60 acceptance threshold (κ = 0.289), with the structural failure on the </w:t>
      </w:r>
      <w:r>
        <w:rPr>
          <w:i/>
        </w:rPr>
        <w:t>conditional</w:t>
      </w:r>
      <w:r>
        <w:t xml:space="preserve"> and </w:t>
      </w:r>
      <w:r>
        <w:rPr>
          <w:i/>
        </w:rPr>
        <w:t>transformed</w:t>
      </w:r>
      <w:r>
        <w:t xml:space="preserve"> anchors; we report it as a known limitation, name the v1.1 instruments that address it (configural-invariance test, marker-variable CMV bound, human second-coder pass), and treat cross-family and cross-capability counts as descriptive within the 36-case sample.</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rubric performs configurational theorizing in the sense developed by Furnari et al. (2021): the typology's mutability operationalizes their </w:t>
      </w:r>
      <w:r>
        <w:rPr>
          <w:i/>
        </w:rPr>
        <w:t>scoping</w:t>
      </w:r>
      <w:r>
        <w:t xml:space="preserve">, </w:t>
      </w:r>
      <w:r>
        <w:rPr>
          <w:i/>
        </w:rPr>
        <w:t>linking</w:t>
      </w:r>
      <w:r>
        <w:t xml:space="preserve">, and </w:t>
      </w:r>
      <w:r>
        <w:rPr>
          <w:i/>
        </w:rPr>
        <w:t>naming</w:t>
      </w:r>
      <w:r>
        <w:t xml:space="preserve"> heuristics. The four v0.1 base statuses were not a priori categories: </w:t>
      </w:r>
      <w:r>
        <w:rPr>
          <w:i/>
        </w:rPr>
        <w:t>robust</w:t>
      </w:r>
      <w:r>
        <w:t xml:space="preserve"> and </w:t>
      </w:r>
      <w:r>
        <w:rPr>
          <w:i/>
        </w:rPr>
        <w:t>shrinking</w:t>
      </w:r>
      <w:r>
        <w:t xml:space="preserve"> surfaced in the first read-through of Cases 1–2 as the polar anchors the case-text language itself supplied; </w:t>
      </w:r>
      <w:r>
        <w:rPr>
          <w:i/>
        </w:rPr>
        <w:t>conditional</w:t>
      </w:r>
      <w:r>
        <w:t xml:space="preserve"> and </w:t>
      </w:r>
      <w:r>
        <w:rPr>
          <w:i/>
        </w:rPr>
        <w:t>transformed</w:t>
      </w:r>
      <w:r>
        <w:t xml:space="preserve"> were filled in by constant comparison across the next six cases. The rubric grew across four versions: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v0.4 tightened the conditional-vs-transformed tie-breaker.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The audit's load-bearing tradition is </w:t>
      </w:r>
      <w:r>
        <w:rPr>
          <w:i/>
        </w:rPr>
        <w:t>content analysis in the Krippendorff sense</w:t>
      </w:r>
      <w:r>
        <w:t xml:space="preserve">, augmented by case-based theorizing (Eisenhardt, 1989) and typology-as-theory-building (Doty &amp; Glick, 1994). The </w:t>
      </w:r>
      <w:r>
        <w:rPr>
          <w:i/>
        </w:rPr>
        <w:t>transformed</w:t>
      </w:r>
      <w:r>
        <w:t xml:space="preserve"> anchor's before/after language is scope-conditioned to author-stated retrospective verb-swap or new-sub-task language quotable from the case file, not to observed longitudinal transition.</w:t>
      </w:r>
    </w:p>
    <w:p>
      <w:r>
        <w:rPr>
          <w:b/>
        </w:rPr>
        <w:t>Construct form.</w:t>
      </w:r>
      <w:r>
        <w:t xml:space="preserve"> 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V values in §6 are read against the 259-cell observable-and-coded denominator. The relationship between Table 1's anchors and the status assignment is </w:t>
      </w:r>
      <w:r>
        <w:rPr>
          <w:i/>
        </w:rPr>
        <w:t>formative</w:t>
      </w:r>
      <w:r>
        <w:t xml:space="preserve"> (Edwards &amp; Bagozzi, 2000): the anchors constitute the status by definition rather than reflectively measuring a latent state. </w:t>
      </w:r>
      <w:r>
        <w:rPr>
          <w:b/>
        </w:rPr>
        <w:t>Paradigm declaration and ostensive scope.</w:t>
      </w:r>
      <w:r>
        <w:t xml:space="preserve"> This audit operates within the modernist measurement tradition of organizational research, in the construct-validity lineage of Cronbach, Meehl, Messick, and Borsboom; we declare this paradigm location because the rubric's claims and limits are conditioned on it.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situated enactment that adjusts the pattern through endogenous variation). Performative variation requires within-case episode coding the v1.0 rubric does not collect; a v1.1 instrument that traces sequence at the case-text level is the appropriate next step (Pentland &amp; Feldman, 2008, on the artifact-action gap). The κ failure on </w:t>
      </w:r>
      <w:r>
        <w:rPr>
          <w:i/>
        </w:rPr>
        <w:t>conditional</w:t>
      </w:r>
      <w:r>
        <w:t xml:space="preserve"> and </w:t>
      </w:r>
      <w:r>
        <w:rPr>
          <w:i/>
        </w:rPr>
        <w:t>transformed</w:t>
      </w:r>
      <w:r>
        <w:t xml:space="preserve"> (§6) is partly diagnostic of this scope: those two anchors require coders to read across the ostensive-performative boundary, while </w:t>
      </w:r>
      <w:r>
        <w:rPr>
          <w:i/>
        </w:rPr>
        <w:t>robust</w:t>
      </w:r>
      <w:r>
        <w:t xml:space="preserve"> and </w:t>
      </w:r>
      <w:r>
        <w:rPr>
          <w:i/>
        </w:rPr>
        <w:t>shrinking</w:t>
      </w:r>
      <w:r>
        <w:t xml:space="preserve"> operate at a single ostensive level.</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(The 2024–2026 capability window in (ii) refers to the AI-capability landscape against which the rubric was calibrated; the seed window includes 2023 cases for completeness, with the </w:t>
      </w:r>
      <w:r>
        <w:rPr>
          <w:i/>
        </w:rPr>
        <w:t>transformed</w:t>
      </w:r>
      <w:r>
        <w:t xml:space="preserve"> anchor's before/after coding scope-conditioned to author-stated retrospective language quotable from the case file.) Exclusion (i) is theoretically derived; (ii) and (iii) are empirically observed; (iv) the rubric was developed on cases from a delimited set of occupational communities, and cross-occupation aggregation presupposes occupational invariance the audit has not established (the v1.1 occupational-coding extension is the appropriate instrument).</w:t>
      </w:r>
    </w:p>
    <w:p>
      <w:r>
        <w:t>The four-case pilot also served as coder-development: the first coder re-coded Cases 1 and 2 under v0.4 to verify earlier codings remained stable; full-corpus stability is a v1.2 commitment.</w:t>
      </w:r>
    </w:p>
    <w:p>
      <w:r>
        <w:t>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w:t>
      </w:r>
    </w:p>
    <w:p>
      <w:r>
        <w:t>The audit codes at the activity-level role, jointly across the individual and team performer level; the v1.1 within-case extension flagged in §6 separates the two.</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 We adopt a </w:t>
      </w:r>
      <w:r>
        <w:rPr>
          <w:i/>
        </w:rPr>
        <w:t>constitutive</w:t>
      </w:r>
      <w:r>
        <w:t xml:space="preserve"> reading of the durable-roles pattern with a substantive interpretation: procedural roles are individuated by the rubric's anchors as the role-cells whose performance is treated by case authors as load-bearing for inferential validity, which means their durability under AI embedding is the empirical signature of where the field's practice currently locates </w:t>
      </w:r>
      <w:r>
        <w:rPr>
          <w:i/>
        </w:rPr>
        <w:t>epistemic-guardian</w:t>
      </w:r>
      <w:r>
        <w:t xml:space="preserve"> labor. That this signature concentrates on three roles (procedure, calibration, accountability) — rather than dispersing — is the substantive finding the audit licenses: under AI embedding, the field's practice converges on a small, stable set of validity-bearing roles rather than fragmenting validity work across many activities. The three durable roles together discharge what the high-reliability-organization literature (Weick &amp; Sutcliffe, 2007) describes as </w:t>
      </w:r>
      <w:r>
        <w:rPr>
          <w:i/>
        </w:rPr>
        <w:t>mindful organizing</w:t>
      </w:r>
      <w:r>
        <w:t xml:space="preserve">: preoccupation with failure (calibration), reluctance to simplify (provenance), sensitivity to operations (procedure), commitment to resilience and deference to expertise (accountability). The epistemic-guardian signature is in this sense the role-cell analog of the mindful-organizing signature documented in HRO settings. The durable-status collapse (robust + conditional + transformed) is also methodologically the right level for the configurational lift calculation: it absorbs the per-status disagreement on </w:t>
      </w:r>
      <w:r>
        <w:rPr>
          <w:i/>
        </w:rPr>
        <w:t>conditional</w:t>
      </w:r>
      <w:r>
        <w:t xml:space="preserve"> and </w:t>
      </w:r>
      <w:r>
        <w:rPr>
          <w:i/>
        </w:rPr>
        <w:t>transformed</w:t>
      </w:r>
      <w:r>
        <w:t xml:space="preserve"> that §6 documents (κ = 0.009 and 0.000 respectively), so the 12-of-36 lift survives even when those individual anchors do not. Across the repository, codebook-equivalents (Keith's construct definitions, Baccolini's inclusion rules, Larson's calibration benchmark spec)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The 1.52× lift confounds substantive role-attachment with case-text procedural-prose density (cases with more procedural prose register more procedural-robust codings; Williams, Hartman, &amp; Cavazotte, 2010), and is also conditioned on the visibility filter (cases visible enough to publish are partly cases where the procedural role was robust enough to produce a publishable workflow). Both confounds bias the lift upward; v1.1 marker-variable correction is the appropriate instrument.</w:t>
      </w:r>
    </w:p>
    <w:p>
      <w:r>
        <w:t xml:space="preserve">We label this durable-on-protocol-and-calibration-and-accountability cluster the </w:t>
      </w:r>
      <w:r>
        <w:rPr>
          <w:i/>
        </w:rPr>
        <w:t>epistemic-guardian signature</w:t>
      </w:r>
      <w:r>
        <w:t xml:space="preserve"> and define it operationally as a (case × three-H1-roles) profile in which all three roles carry a durable status.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A coordination-architecture reading is consistent with the lift but is </w:t>
      </w:r>
      <w:r>
        <w:rPr>
          <w:i/>
        </w:rPr>
        <w:t>conditional</w:t>
      </w:r>
      <w:r>
        <w:t xml:space="preserve"> on the rubric's anchors tracking features of practice that exist independent of the rubric (the v1.1 within-case extension is the test): if so, splitting the three procedural roles across separate coordination structures would create the provenance-vs-accountability merge pressure §7 forward-predicts.</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These three shapes are not deterministic outcomes of AI capability; they are </w:t>
      </w:r>
      <w:r>
        <w:rPr>
          <w:i/>
        </w:rPr>
        <w:t>occasions</w:t>
      </w:r>
      <w:r>
        <w:t xml:space="preserve"> for structuring whose realized form is shaped by the occupational community in which the workflow is embedded (Barley, 1986, on technology as occasion for structuring rather than determinant). The same agentic-pipeline capability deployed in a political-measurement community and in an anthropological-fieldnote community will not produce the same shrinkage shape, because the craft tradition into which it lands defines what counts as residual human labor. The 36-case repository codes the realized outcome but does not isolate the occasion-vs-determinant contribution; a v1.1 within-case occupational coding is the appropriate instrument.</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The "routine" descriptor used here for these three task-clusters refers to </w:t>
      </w:r>
      <w:r>
        <w:rPr>
          <w:i/>
        </w:rPr>
        <w:t>high-consensus repeatable throughput</w:t>
      </w:r>
      <w:r>
        <w:t xml:space="preserve"> in the labor-economics sense (Autor 2015), not to </w:t>
      </w:r>
      <w:r>
        <w:rPr>
          <w:i/>
        </w:rPr>
        <w:t>organizational routines</w:t>
      </w:r>
      <w:r>
        <w:t xml:space="preserve"> in the Feldman &amp; Pentland (2003) sense; the routines-theoretic question of how the ostensive pattern of these task-clusters is performatively reproduced under AI embedding remains open and is the appropriate object of a v1.1 within-case extension. Shrinkage in this repository has three distinct jurisdictional shapes that are consistent with mechanisms catalogued in the labor-economics literature on automation, though the audit codes only the realized shape and does not adjudicate among the underlying mechanisms. </w:t>
      </w:r>
      <w:r>
        <w:rPr>
          <w:i/>
        </w:rPr>
        <w:t>Deskilling</w:t>
      </w:r>
      <w:r>
        <w:t xml:space="preserve"> — the role's content is simplified and the skill demand on the human contracts — is consistent with the routinization-pressure mechanism in Autor (2015) and the lower-skill-demand pole of the automation-augmentation paradox (Raisch &amp; Krakowski, 2021),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Acemoglu and Restrepo (2020) document for industrial robots, and fits the Tornberg (2025) objective-coding pattern. </w:t>
      </w:r>
      <w:r>
        <w:rPr>
          <w:i/>
        </w:rPr>
        <w:t>Boundary redefinition</w:t>
      </w:r>
      <w:r>
        <w:t xml:space="preserve"> — the task cluster is excised from the human role altogether and the role itself narrows — is consistent with what Brynjolfsson and Mitchell (2017) describe as task-level automation reshaping occupational composition, and the structural-prose-polishing pattern documented by Yin (n.d.) and Cox (n.d.) is the manuscript's role-level analog. These three shapes are not interchangeable, and the manuscript's claim that "shrinkage clusters where auditability and public ground truth are strongest" refers specifically to delegation and boundary-redefinition shapes; deskilling is a weaker shrinkage signal.</w:t>
      </w:r>
    </w:p>
    <w:p>
      <w:r>
        <w:t xml:space="preserve">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concentrated in 11 of 36 cases (a case is shrinking-positive if it carries shrinking on at least one of the three task-clusters); 25 cases carry zero shrinking codings, the asymmetry §3 turns on.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A consistency of 0.857 clears Ragin's (2008) 0.75 minimum threshold for sufficiency claims but falls below the 0.90 threshold for </w:t>
      </w:r>
      <w:r>
        <w:rPr>
          <w:i/>
        </w:rPr>
        <w:t>strong</w:t>
      </w:r>
      <w:r>
        <w:t xml:space="preserve"> sufficiency: the relation is sufficient-with-material-exceptions (two of the 14 ground-truth-rich cases lack any shrinking task-cluster), so ground-truth-richness is close-to-sufficient </w:t>
      </w:r>
      <w:r>
        <w:rPr>
          <w:i/>
        </w:rPr>
        <w:t>with disclosed exceptions</w:t>
      </w:r>
      <w:r>
        <w:t xml:space="preserve"> rather than strongly sufficient. Coverage of 0.500 implies a second equifinal path (Ragin, 2008): of the 12 shrinking cases outside ground-truth-rich families, 9 are concentrated in the structural-prose-polishing cluster and arise where the task has </w:t>
      </w:r>
      <w:r>
        <w:rPr>
          <w:i/>
        </w:rPr>
        <w:t>clean post-hoc auditability</w:t>
      </w:r>
      <w:r>
        <w:t xml:space="preserve"> (an editor can compare draft to published prose) rather than public ground truth. The two-path equifinal reading — </w:t>
      </w:r>
      <w:r>
        <w:rPr>
          <w:i/>
        </w:rPr>
        <w:t>ground-truth-rich</w:t>
      </w:r>
      <w:r>
        <w:t xml:space="preserve"> OR </w:t>
      </w:r>
      <w:r>
        <w:rPr>
          <w:i/>
        </w:rPr>
        <w:t>clean-post-hoc-auditability</w:t>
      </w:r>
      <w:r>
        <w:t xml:space="preserve"> → </w:t>
      </w:r>
      <w:r>
        <w:rPr>
          <w:i/>
        </w:rPr>
        <w:t>has-shrinking</w:t>
      </w:r>
      <w:r>
        <w:t xml:space="preserve"> — is consistent with the data and recovers a coverage close to 0.875 jointly; we report this as a descriptive equifinality signal, not a Boolean-minimized solution, and the formal test awaits a larger-N QCA.</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w:t>
      </w:r>
      <w:r>
        <w:rPr>
          <w:b/>
        </w:rPr>
        <w:t>pooled Cohen's κ = 0.289, 95% bootstrap CI [0.147, 0.439]</w:t>
      </w:r>
      <w:r>
        <w:t xml:space="preserve"> (B = 2,000; seed 20260423); Krippendorff's α on the same data is 0.278 (7-cat) / 0.298 (8-cat). The result </w:t>
      </w:r>
      <w:r>
        <w:rPr>
          <w:b/>
        </w:rPr>
        <w:t>fails</w:t>
      </w:r>
      <w:r>
        <w:t xml:space="preserve">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§3.0 case prototypes amplifies the gap on transition-coded statuses; a human second-coder pass with calibration sessions on the §3.0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Table 1's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The </w:t>
      </w:r>
      <w:r>
        <w:rPr>
          <w:i/>
        </w:rPr>
        <w:t>conditional</w:t>
      </w:r>
      <w:r>
        <w:t xml:space="preserve"> status (92 of 612 rows) is operationally undifferentiated and we leave it so for v1.0; a two-extreme robustness bracket — reassigning all 92 conditional rows to </w:t>
      </w:r>
      <w:r>
        <w:rPr>
          <w:i/>
        </w:rPr>
        <w:t>robust</w:t>
      </w:r>
      <w:r>
        <w:t xml:space="preserve"> (extreme A: human-default) or to </w:t>
      </w:r>
      <w:r>
        <w:rPr>
          <w:i/>
        </w:rPr>
        <w:t>transformed</w:t>
      </w:r>
      <w:r>
        <w:t xml:space="preserve"> (extreme B: AI-default) — yields sign-test </w:t>
      </w:r>
      <w:r>
        <w:rPr>
          <w:i/>
        </w:rPr>
        <w:t>p</w:t>
      </w:r>
      <w:r>
        <w:t xml:space="preserve"> = 0.004 (A) or 0.021 (B): the verdict is robust to either prior.</w:t>
      </w:r>
    </w:p>
    <w:p>
      <w:r>
        <w:t>The v1.1 pre-analysis plan (filed at OSF prior to coding) commits a CFA marker-variable test, a configural-invariance test with two human coders and ≥50 cases per family, and strengthened 1st-order quotation discipline.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(one role drops because its V is undefined on the 32-case subset;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case family (raw 0.58, adj. 0.58); (6) on AI capability (raw 0.33, adj. 0.66).</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Keohane, &amp; Verba,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are not a flat list; they cluster onto two aggregate dimensions that </w:t>
      </w:r>
      <w:r>
        <w:rPr>
          <w:i/>
        </w:rPr>
        <w:t>emerged</w:t>
      </w:r>
      <w:r>
        <w:t xml:space="preserve"> from the comparative audit rather than being imposed from prior theory (Gioia, Corley, &amp; Hamilton, 2013, on aggregate-dimension naming as the highest-order theoretical claim an inductive audit licenses).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two-dimensional structure is the highest-order theoretical claim the audit licenses, and the typology is six rather than four because reconfiguration and reallocation are independent forms of jurisdictional revision (Abbott, 1988; Freidson, 2001). Concretely, the two-axis structure was not visible at v0.1, when the four base statuses were treated as a flat list. It surfaced after Case 10's merge-pressure coding made it impossible to read split and merge as further points on the allocation axis: their substantive content was the unit of analysis itself, not the human-AI allocation within a fixed unit. The allocation/specification distinction is therefore an aggregate-dimension </w:t>
      </w:r>
      <w:r>
        <w:rPr>
          <w:i/>
        </w:rPr>
        <w:t>finding</w:t>
      </w:r>
      <w:r>
        <w:t xml:space="preserve"> of the audit, in the Gioia, Corley, &amp; Hamilton (2013) sense, rather than a theoretical lens applied to the data.</w:t>
      </w:r>
    </w:p>
    <w:p>
      <w:r>
        <w:t xml:space="preserve">The two-axis framing generates three forward-looking propositions for theory-extension testing on the pre-specified 2027 hold-out: </w:t>
      </w:r>
      <w:r>
        <w:rPr>
          <w:b/>
        </w:rPr>
        <w:t>P1</w:t>
      </w:r>
      <w:r>
        <w:t xml:space="preserve">: Procedural roles (protocol-and-provenance, calibration, accountability) co-occur as a single epistemic-guardian configuration; their statuses are not independently distributable. </w:t>
      </w:r>
      <w:r>
        <w:rPr>
          <w:b/>
        </w:rPr>
        <w:t>P2</w:t>
      </w:r>
      <w:r>
        <w:t xml:space="preserve">: Shrinkage clusters where the joint conjunction </w:t>
      </w:r>
      <w:r>
        <w:rPr>
          <w:i/>
        </w:rPr>
        <w:t>public-ground-truth</w:t>
      </w:r>
      <w:r>
        <w:t xml:space="preserve"> ∨ </w:t>
      </w:r>
      <w:r>
        <w:rPr>
          <w:i/>
        </w:rPr>
        <w:t>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 (one leading-indicator case, Hajishirzi 2026; the most speculative). Falsification thresholds per proposition, the 2027 sampling frame (target </w:t>
      </w:r>
      <w:r>
        <w:rPr>
          <w:i/>
        </w:rPr>
        <w:t>N</w:t>
      </w:r>
      <w:r>
        <w:t xml:space="preserve"> = 60), and the pre-committed analysis script </w:t>
      </w:r>
      <w:r>
        <w:rPr>
          <w:rFonts w:ascii="Consolas" w:hAnsi="Consolas"/>
          <w:sz w:val="21"/>
        </w:rPr>
        <w:t>scripts/section7_2027_holdout.py</w:t>
      </w:r>
      <w:r>
        <w:t xml:space="preserve"> are filed at the v1.0.0-ORM-submission release tag.</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t>Tables 5 and 6 translate the descriptive audit into recommendations for authors, reviewers, and institutions; they are the rubric's intended applied use, with implied coordination mechanisms offered as conjectures consistent with the pattern.</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Tables 5 and 6 together summarize the framework's applied use; the decision tree in Appendix E is the auditable protocol for assigning a status to a new (role × case) cell.</w:t>
      </w:r>
    </w:p>
    <w:p>
      <w:r>
        <w:t>The paired deliverable is the released 36-case database, codebook, rubric, coder protocol (Appendix E), and reviewer-audit checklist (Appendix F); readers are invited to apply, contest, and extend the coding.</w:t>
      </w:r>
    </w:p>
    <w:p>
      <w:r>
        <w:t xml:space="preserve">The role-system rubric advanced here sits within computational social science (Lazer et al., 2009, 2020) at a level the existing CSS literature has under-theorized: not the pipeline (Hickman et al., 2022) and not the model, but the activity-level role within which both pipeline and model are embedded. We acknowledge a Foucauldian reading: a rubric that codes role-status assignments and recommends institutional adoption (Tables 5, 6) is itself a discursive intervention — once the six statuses circulate as a measurement convention, researchers will plausibly organize their work around the rubric, and the rubric will partly </w:t>
      </w:r>
      <w:r>
        <w:rPr>
          <w:i/>
        </w:rPr>
        <w:t>produce</w:t>
      </w:r>
      <w:r>
        <w:t xml:space="preserve"> the role-system it claims to describe. We do not regard this as invalidating the audit; we regard it as the inescapable governmentality dimension of any methodological-rubric contribution and we flag it explicitly so readers from postmodern and practice-theoretic traditions can locate the work. The disconfirmation apparatus is a parallel rubric application by independent research groups on a 2027–2030 sample, which would surface jurisdictional variation in the rubric itself; in its absence, this audit is a candidate framework rather than an established one.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Merton, 1957. The role-set: Problems in sociological theory. [BG018]</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Williams, Hartman, and Cavazotte, 2010. Method variance and marker variables: A review and comprehensive CFA marker technique. *Organizational Research Methods*, 13(3), 477–514. [BG102]</w:t>
      </w:r>
    </w:p>
    <w:p>
      <w:pPr>
        <w:pStyle w:val="ListBullet"/>
      </w:pPr>
      <w:r>
        <w:t>Lord, Foti, and DeVader, 1984. A test of leadership categorization theory: Internal structure, information processing, and leadership perceptions. *Organizational Behavior and Human Performance*, 34(3), 343–378. [BG104]</w:t>
      </w:r>
    </w:p>
    <w:p>
      <w:pPr>
        <w:pStyle w:val="ListBullet"/>
      </w:pPr>
      <w:r>
        <w:t>Eisenhardt and Graebner, 2007. Theory building from cases: Opportunities and challenges. *Academy of Management Journal*, 50(1), 25–32. [BG106]</w:t>
      </w:r>
    </w:p>
    <w:p>
      <w:pPr>
        <w:pStyle w:val="ListBullet"/>
      </w:pPr>
      <w:r>
        <w:t>Faraj and Pachidi, 2021. Beyond Uberization: The co-constitution of technology and organizing. *Organization Theory*, 2(1), 1–14. [BG108]</w:t>
      </w:r>
    </w:p>
    <w:p>
      <w:pPr>
        <w:pStyle w:val="ListBullet"/>
      </w:pPr>
      <w:r>
        <w:t>Feldman and Pentland, 2003. Reconceptualizing organizational routines as a source of flexibility and change. *Administrative Science Quarterly*, 48(1), 94–118. [BG113]</w:t>
      </w:r>
    </w:p>
    <w:p>
      <w:pPr>
        <w:pStyle w:val="ListBullet"/>
      </w:pPr>
      <w:r>
        <w:t>Pentland and Feldman, 2008. Designing routines: On the folly of designing artifacts while hoping for patterns of action. *Information and Organization*, 18(4), 235–250. [BG114]</w:t>
      </w:r>
    </w:p>
    <w:p>
      <w:pPr>
        <w:pStyle w:val="ListBullet"/>
      </w:pPr>
      <w:r>
        <w:t>Weick and Sutcliffe, 2007. *Managing the Unexpected: Resilient Performance in an Age of Uncertainty* (2nd ed.). Jossey-Bass. [BG115]</w:t>
      </w:r>
    </w:p>
    <w:p>
      <w:pPr>
        <w:pStyle w:val="ListBullet"/>
      </w:pPr>
      <w:r>
        <w:t>Pentland, 1999. Building process theory with narrative: From description to explanation. *Academy of Management Review*, 24(4), 711–724. [BG116]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