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xml:space="preserve">,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 Cross-family and cross-capability counts are reported descriptively and presuppose, but do not yet test, configural measurement invariance of the rubric's anchors across the eight case families and three AI capabilities (Vandenberg &amp; Lance, 2000); a configural-invariance test is pre-committed to the v1.1 protocol. Because all 612 codings derive from one coder applying one rubric to one source-type (case text), the audit shares method variance with its rater and instrument; we treat single-source common-method variance (Williams &amp; McGonagle, 2016) as a scope condition on the comparative claims and pre-commit a marker-variable test to v1.1. The paper's central insight — its </w:t>
      </w:r>
      <w:r>
        <w:rPr>
          <w:i/>
        </w:rPr>
        <w:t>heart</w:t>
      </w:r>
      <w:r>
        <w:t xml:space="preserve">, in the Eisenhardt (2021) sense — is that under AI embedding the three procedural-validity roles co-vary as a single </w:t>
      </w:r>
      <w:r>
        <w:rPr>
          <w:i/>
        </w:rPr>
        <w:t>epistemic-guardian configuration</w:t>
      </w:r>
      <w:r>
        <w:t xml:space="preserve"> in 12 of 36 cases (1.52× independent-marginal expectation); the six-status rubric is the instrument that surfaces this configuration, and the role-system reframe is its conceptual scaffolding.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w:t>
      </w:r>
    </w:p>
    <w:p>
      <w:r>
        <w:t xml:space="preserve">To distinguish the rubric's central constructs from their closest predecessors, following Suddaby's (2010) construct-clarity criteria: </w:t>
      </w:r>
      <w:r>
        <w:rPr>
          <w:i/>
        </w:rPr>
        <w:t>status</w:t>
      </w:r>
      <w:r>
        <w:t xml:space="preserve"> differs from Abbott's (1988) jurisdictional position by operating at the activity-level role-cell rather than the occupational profession; </w:t>
      </w:r>
      <w:r>
        <w:rPr>
          <w:i/>
        </w:rPr>
        <w:t>robust</w:t>
      </w:r>
      <w:r>
        <w:t xml:space="preserve"> differs from Tilcsik's (2010) occupational closure by indexing author-stated load-bearingness rather than occupational entry control; </w:t>
      </w:r>
      <w:r>
        <w:rPr>
          <w:i/>
        </w:rPr>
        <w:t>transformed</w:t>
      </w:r>
      <w:r>
        <w:t xml:space="preserve"> differs from Barley's (1986) occupational change by requiring a verb-swap or new-sub-task anchor at the role-cell level rather than role-system reorganization; </w:t>
      </w:r>
      <w:r>
        <w:rPr>
          <w:i/>
        </w:rPr>
        <w:t>split pressure</w:t>
      </w:r>
      <w:r>
        <w:t xml:space="preserve"> differs from Anteby, Chan, and DiBenigno's (2016) boundary work by registering rubric-revision pressure on the audit instrument (the typology, not the role-bearer, requires revision) rather than identity-work performed by occupational members. We treat these as distinct constructs that share descent from but do not duplicate their respective priors.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We declare the paper's primary contribution as </w:t>
      </w:r>
      <w:r>
        <w:rPr>
          <w:i/>
        </w:rPr>
        <w:t>methodological</w:t>
      </w:r>
      <w:r>
        <w:t xml:space="preserve"> — a behaviorally-anchored rubric for coding role-status change at the (role × case) cell level — and its secondary contribution as </w:t>
      </w:r>
      <w:r>
        <w:rPr>
          <w:i/>
        </w:rPr>
        <w:t>integrative-theoretical</w:t>
      </w:r>
      <w:r>
        <w:t>: it rescales Abbott's jurisdictional mechanisms from the occupational profession to the activity-level role and operationalizes Furnari et al.'s scoping/linking/naming heuristics as split, merge, and aggregate-axis pressures. We do not claim a stand-alone theoretical contribution in the Whetten (1989) sense, because the underlying mechanism producing the durable-roles pattern is not independently established by the audit.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four v0.1 base statuses were not themselves a priori categories. </w:t>
      </w:r>
      <w:r>
        <w:rPr>
          <w:i/>
        </w:rPr>
        <w:t>Robust</w:t>
      </w:r>
      <w:r>
        <w:t xml:space="preserve"> and </w:t>
      </w:r>
      <w:r>
        <w:rPr>
          <w:i/>
        </w:rPr>
        <w:t>shrinking</w:t>
      </w:r>
      <w:r>
        <w:t xml:space="preserve"> surfaced in the first read-through of Cases 1–2 as the polar anchors the case-text language itself supplied (authors' own "load-bearing" vs. "outperforms human coders" descriptions). </w:t>
      </w:r>
      <w:r>
        <w:rPr>
          <w:i/>
        </w:rPr>
        <w:t>Conditional</w:t>
      </w:r>
      <w:r>
        <w:t xml:space="preserve"> and </w:t>
      </w:r>
      <w:r>
        <w:rPr>
          <w:i/>
        </w:rPr>
        <w:t>transformed</w:t>
      </w:r>
      <w:r>
        <w:t xml:space="preserve"> were the residual codes for cells that fit neither anchor; their content was filled in by constant comparison across the next six cases before v0.1 was frozen, in the grounded-theorizing posture Locke (2007) describes as the dual-thinking-modes tension between rational analytic control and irrational free-play. The pilot then stress-tested anchors that had already taken provisional shape from the data. The rubric grew across four numbered versions: v0.1 (pre-pilot) carried four statuses (robust, conditional, transformed, shrinking); </w:t>
      </w:r>
      <w:r>
        <w:rPr>
          <w:i/>
        </w:rPr>
        <w:t>split pressure</w:t>
      </w:r>
      <w:r>
        <w:t xml:space="preserve"> was added at v0.2 after Case 3 (Gligorić) showed that </w:t>
      </w:r>
      <w:r>
        <w:rPr>
          <w:i/>
        </w:rPr>
        <w:t>construct and perspective boundary setter</w:t>
      </w:r>
      <w:r>
        <w:t xml:space="preserve"> conflated diagnostic and sampling sub-activities; </w:t>
      </w:r>
      <w:r>
        <w:rPr>
          <w:i/>
        </w:rPr>
        <w:t>merge pressure</w:t>
      </w:r>
      <w:r>
        <w:t xml:space="preserve"> was added at v0.3 after Case 10 (Hajishirzi) showed provenance and accountability inseparable in retrieval-augmented synthesis; the conditional-vs-transformed tie-breaker was tightened at v0.4 in response to the Appendix B κ pass.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rPr>
          <w:b/>
        </w:rPr>
        <w:t>Qualitative tradition.</w:t>
      </w:r>
      <w:r>
        <w:t xml:space="preserve"> We declare </w:t>
      </w:r>
      <w:r>
        <w:rPr>
          <w:i/>
        </w:rPr>
        <w:t>content analysis in the Krippendorff tradition</w:t>
      </w:r>
      <w:r>
        <w:t xml:space="preserve"> as the load-bearing qualitative tradition for this audit, augmented by </w:t>
      </w:r>
      <w:r>
        <w:rPr>
          <w:i/>
        </w:rPr>
        <w:t>case-based theorizing</w:t>
      </w:r>
      <w:r>
        <w:t xml:space="preserve"> (Eisenhardt, 1989, 2021) for the rubric-development pilot and by </w:t>
      </w:r>
      <w:r>
        <w:rPr>
          <w:i/>
        </w:rPr>
        <w:t>typology-as-theory-building</w:t>
      </w:r>
      <w:r>
        <w:t xml:space="preserve"> (Doty &amp; Glick, 1994; Fiss, 2011) for the framework's status. Krippendorff is load-bearing because the rubric's recording-unit / context-unit / encounter-sequence apparatus and its inter-coder reliability tests are content-analytic. Eisenhardt and Doty-Glick are </w:t>
      </w:r>
      <w:r>
        <w:rPr>
          <w:i/>
        </w:rPr>
        <w:t>auxiliary</w:t>
      </w:r>
      <w:r>
        <w:t>: the four-case pilot follows Eisenhardt's iterative anchor-refinement logic, and the typology's revisability is read against Doty-Glick's mutability criterion. Quality criteria appropriate to content analysis — recording-unit discipline, codebook stability, inter-coder reliability — are the primary evaluation grounds, with Pratt-Kaplan-Whittington's (2020) trustworthiness criteria applied to the interpretive components of the rubric.</w:t>
      </w:r>
    </w:p>
    <w:p>
      <w:r>
        <w:rPr>
          <w:b/>
        </w:rPr>
        <w:t>Construct form.</w:t>
      </w:r>
      <w:r>
        <w:t xml:space="preserve"> The six statuses constitute a </w:t>
      </w:r>
      <w:r>
        <w:rPr>
          <w:i/>
        </w:rPr>
        <w:t>categorical typology</w:t>
      </w:r>
      <w:r>
        <w:t xml:space="preserve"> in the Doty &amp; Glick (1994) sense: each (role × case) cell is assigned to one of the six kinds, and counts across kinds presuppose that one robust coding is qualitatively the same kind as another robust coding. The "allocation axis" label (robust → conditional → transformed → shrinking) is interpretive scaffolding for the four allocation-related kinds, not an underlying continuum the kinds are degrees on; we adopt this categorical reading as load-bearing for §6's count-based inferences and flag the configurational lift in §3.1 (1.52× durable-on-all-three) as </w:t>
      </w:r>
      <w:r>
        <w:rPr>
          <w:i/>
        </w:rPr>
        <w:t>profile-construct</w:t>
      </w:r>
      <w:r>
        <w:t xml:space="preserve"> evidence (Edwards, 2001) on a derived binary collapse rather than as categorical-typology evidence within the six-status partition. </w:t>
      </w:r>
      <w:r>
        <w:rPr>
          <w:b/>
        </w:rPr>
        <w:t>Construct-measure direction.</w:t>
      </w:r>
      <w:r>
        <w:t xml:space="preserve"> The relationship between Table 1's anchors and the role-status assignment is </w:t>
      </w:r>
      <w:r>
        <w:rPr>
          <w:i/>
        </w:rPr>
        <w:t>formative</w:t>
      </w:r>
      <w:r>
        <w:t xml:space="preserve"> (Edwards &amp; Bagozzi, 2000): the anchors do not reflectively measure a latent role-status that exists prior to coding; they constitute the status by definition. We adopt the formative reading explicitly because Edwards's (2011) critique of formative measurement applies — a formative construct is meaningful only if its indicators jointly span the conceptual content — and we therefore defend completeness of the anchor set in Appendix E rather than treating completeness as assumed. </w:t>
      </w:r>
      <w:r>
        <w:rPr>
          <w:b/>
        </w:rPr>
        <w:t>Mutual exclusivity vs. exhaustiveness.</w:t>
      </w:r>
      <w:r>
        <w:t xml:space="preserve"> The typology is </w:t>
      </w:r>
      <w:r>
        <w:rPr>
          <w:i/>
        </w:rPr>
        <w:t>mutually exclusive within an applicable cell</w:t>
      </w:r>
      <w:r>
        <w:t xml:space="preserve"> but is </w:t>
      </w:r>
      <w:r>
        <w:rPr>
          <w:i/>
        </w:rPr>
        <w:t>not claimed to be exhaustive over all (role × case) cells</w:t>
      </w:r>
      <w:r>
        <w:t xml:space="preserve">: 37 of 612 cells are coded </w:t>
      </w:r>
      <w:r>
        <w:rPr>
          <w:i/>
        </w:rPr>
        <w:t>unclear</w:t>
      </w:r>
      <w:r>
        <w:t xml:space="preserve"> (insufficient evidence to apply any anchor) and 316 are coded </w:t>
      </w:r>
      <w:r>
        <w:rPr>
          <w:i/>
        </w:rPr>
        <w:t>not_applicable</w:t>
      </w:r>
      <w:r>
        <w:t xml:space="preserve"> (the role is not observable in the case file). These residuals are construct-form artifacts of the formative measurement design — they record where the rubric's indicators fail to fire — not a seventh and eighth status. Counts within the six statuses are therefore conditioned on observability and codability, and the V values reported in §6 should be read against the 259-cell observable-and-coded denominator.</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Of these three exclusions, (i) is </w:t>
      </w:r>
      <w:r>
        <w:rPr>
          <w:i/>
        </w:rPr>
        <w:t>theoretically-derived</w:t>
      </w:r>
      <w:r>
        <w:t xml:space="preserve">: the framework requires visible identification of AI involvement to license the </w:t>
      </w:r>
      <w:r>
        <w:rPr>
          <w:i/>
        </w:rPr>
        <w:t>transformed</w:t>
      </w:r>
      <w:r>
        <w:t xml:space="preserve"> anchor's before/after coding, so industry-internal cases are out-of-scope by construction. Exclusions (ii) and (iii) are </w:t>
      </w:r>
      <w:r>
        <w:rPr>
          <w:i/>
        </w:rPr>
        <w:t>empirically-observed</w:t>
      </w:r>
      <w:r>
        <w:t xml:space="preserve">: the framework does not predict its own failure outside the 2024–2026 window or the eight case families, but the audit cannot license generalization beyond them (Whetten, 1989, on theoretically-derived vs. empirically-observed boundary conditions as differently weighted contributions). The configural-invariance test pre-committed to v1.1 will convert (iii) from an empirical to a theoretical exclusion if it fails. (iv) </w:t>
      </w:r>
      <w:r>
        <w:rPr>
          <w:i/>
        </w:rPr>
        <w:t>Occupational scope</w:t>
      </w:r>
      <w:r>
        <w:t xml:space="preserve">: the framework was developed on cases drawn from a delimited set of occupational communities (computational social science, political-measurement, evidence-synthesis, anthropological fieldwork, simulation methodology). What counts as a </w:t>
      </w:r>
      <w:r>
        <w:rPr>
          <w:i/>
        </w:rPr>
        <w:t>load-bearing</w:t>
      </w:r>
      <w:r>
        <w:t xml:space="preserve"> procedural anchor is occupationally specified — codebook portability for measurement communities, reflexive memo-keeping for ethnographic communities — and the v1.0 rubric does not test whether anchors are occupationally invariant. Cross-occupation aggregation in Tables 2–3 presupposes occupational invariance the audit has not established (Barley &amp; Kunda, 2001, on bringing work back in); a v1.1 occupational-coding extension parallel to the configural-invariance test is the appropriate instrument.</w:t>
      </w:r>
    </w:p>
    <w:p>
      <w:r>
        <w:rPr>
          <w:b/>
        </w:rPr>
        <w:t>Coder development.</w:t>
      </w:r>
      <w:r>
        <w:t xml:space="preserve"> The four-case pilot served two distinct purposes the manuscript distinguishes. First, it was a </w:t>
      </w:r>
      <w:r>
        <w:rPr>
          <w:i/>
        </w:rPr>
        <w:t>rubric-development</w:t>
      </w:r>
      <w:r>
        <w:t xml:space="preserve"> exercise (anchors refined; split-pressure and merge-pressure statuses added). Second, it was a </w:t>
      </w:r>
      <w:r>
        <w:rPr>
          <w:i/>
        </w:rPr>
        <w:t>coder-development</w:t>
      </w:r>
      <w:r>
        <w:t xml:space="preserve"> exercise: the first coder applied v0.1 to Cases 1, 2, 7, 21, then re-coded Cases 1 and 2 under v0.4 to verify that earlier codings remained stable under the revised rubric. The pilot re-coding is the manuscript's only stability-grade reliability artifact; full-corpus stability is not established and is flagged as a v1.2 commitment alongside accuracy testing once a gold-standard role-status corpus exists.</w:t>
      </w:r>
    </w:p>
    <w:p>
      <w:r>
        <w:rPr>
          <w:b/>
        </w:rPr>
        <w:t>Temporal-equilibrium scope.</w:t>
      </w:r>
      <w:r>
        <w:t xml:space="preserve"> The 36 case codings represent single-snapshot temporal slices and presuppose that the captured (role × AI-capability) configuration is at local equilibrium. For cases where the role is co-constituted with an iteratively-updated learning algorithm (Faraj, Pachidi, &amp; Sayegh, 2018; Faraj &amp; Pachidi, 2021) — Hajishirzi's retrieval-augmented synthesis and Larson's synthetic-respondent calibration are the clearest instances — the snapshot may be a moment in an ongoing co-evolution, and the audit cannot adjudicate whether the coded status is durable. The v1.1 longitudinal extension flagged in §6 (transition direction across two snapshots) is the appropriate instrument for that question.</w:t>
      </w:r>
    </w:p>
    <w:p>
      <w:r>
        <w:rPr>
          <w:b/>
        </w:rPr>
        <w:t>Institutional embedding.</w:t>
      </w:r>
      <w:r>
        <w:t xml:space="preserve"> The rubric codes role statuses on the basis of behavioral anchors that are themselves drawn from case authors' own descriptions of their workflows. Because case authors are simultaneously legitimating their own workflows to disciplinary audiences (Suddaby &amp; Greenwood, 2005), the </w:t>
      </w:r>
      <w:r>
        <w:rPr>
          <w:i/>
        </w:rPr>
        <w:t>robust</w:t>
      </w:r>
      <w:r>
        <w:t xml:space="preserve"> coding partly indexes the rhetorical work the cases perform to position their human roles as load-bearing, alongside any external validity standard. The rubric does not adjudicate this; a v1.1 sub-coding distinguishing author-stated load-bearingness from third-party-attestable load-bearingness is the appropriate next instrument.</w:t>
      </w:r>
    </w:p>
    <w:p>
      <w:r>
        <w:t>The rubric operates at the activity-level role, but a role can be carried by performers at four nested levels: (a) the individual researcher's intrapersonal role bundle (Ramarajan, 2014); (b) the research team's division of labor across human and AI members (Woolley et al., 2010; Puranam, 2021 on AI as organizational member); (c) the institution's workflow design, where role-status assignments imply training and accountability infrastructure; and (d) the field-level standard, where rubric-level adoption would constitute a methodological convention. The 36-case repository codes at levels (a) and (b) jointly because case texts do not consistently distinguish them; the v1.1 within-case coding flagged in §3.1 and §6 is the appropriate test for separating the two. Forward-looking predictions in §7 are written at all four levels and are flagged accordingly.</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One orientation note before the evidence. The configurational evidence presented in this subsection is auxiliary to the paper's load-bearing claim, which is the typology's mutual-exclusivity within (role × case) cells, not the configurational lift; the configurational vocabulary is interpretive scaffolding for the role-segmentation finding rather than an independent inferential channel (Cornelissen, Höllerer, &amp; Seidl, 2021 on theorizing forms in organization studies). 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the </w:t>
      </w:r>
      <w:r>
        <w:rPr>
          <w:i/>
        </w:rPr>
        <w:t>constitutive</w:t>
      </w:r>
      <w:r>
        <w:t xml:space="preserve"> reading of </w:t>
      </w:r>
      <w:r>
        <w:rPr>
          <w:i/>
        </w:rPr>
        <w:t>why</w:t>
      </w:r>
      <w:r>
        <w:t xml:space="preserve"> procedural roles are durable: procedural roles are individuated by the rubric's anchors </w:t>
      </w:r>
      <w:r>
        <w:rPr>
          <w:i/>
        </w:rPr>
        <w:t>as the role-cells whose performance is treated by case authors as load-bearing for inferential validity</w:t>
      </w:r>
      <w:r>
        <w:t>, and their durability under AI embedding is therefore a definitional consequence of how the construct is operationalized rather than a causal effect of procedural validity (Whetten, 1989, on the distinction between causal and constitutive theoretical claims). The empirically open question — whether case authors' load-bearingness judgments track an external validity standard or merely conventional disciplinary practice — is left to the v1.1 within-case coding extension. The codebook itself is doing jurisdictional work in the Bechky (2003) sense: it is the artifact through which construct boundaries are negotiated with reviewers, training data are operationalized for model evaluation, and edge-case decisions are rendered auditable to a second coder. The role's durability is inseparable from the codebook's portability — and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A common-method-variance reading also bears flagging (Williams, Hartman, &amp; Cavazotte, 2010): because </w:t>
      </w:r>
      <w:r>
        <w:rPr>
          <w:i/>
        </w:rPr>
        <w:t>robust</w:t>
      </w:r>
      <w:r>
        <w:t xml:space="preserve"> fires on author-stated load-bearing language, cases with more procedural prose plausibly register more procedural-robust codings independent of underlying durability, and the 1.52× triple-co-occurrence lift therefore confounds substantive role-attachment with case-text procedural-prose density. We will partial out per-case word-count and methods-section length in v1.1 and report the residual lift as the CMV-corrected configurational signal. Provenance architecture is also shaped by </w:t>
      </w:r>
      <w:r>
        <w:rPr>
          <w:i/>
        </w:rPr>
        <w:t>algorithmic opacity</w:t>
      </w:r>
      <w:r>
        <w:t xml:space="preserve"> (Faraj, Pachidi, &amp; Sayegh, 2018): the human role's content differs across deployments where the model's internal reasoning is fully traceable versus opaque-by-design; the v1.0 rubric does not code opacity-related variation in the role's content, and a v1.1 sub-coding distinguishing opacity-high and opacity-low </w:t>
      </w:r>
      <w:r>
        <w:rPr>
          <w:i/>
        </w:rPr>
        <w:t>protocol and provenance architect</w:t>
      </w:r>
      <w:r>
        <w:t xml:space="preserve"> configurations is the appropriate next instrument.</w:t>
      </w:r>
    </w:p>
    <w:p>
      <w:r>
        <w:t xml:space="preserve">We label this durable-on-protocol-and-calibration-and-accountability cluster the </w:t>
      </w:r>
      <w:r>
        <w:rPr>
          <w:i/>
        </w:rPr>
        <w:t>epistemic-guardian signature</w:t>
      </w:r>
      <w:r>
        <w:t xml:space="preserve"> and define it operationally as a (case × three-H1-roles) profile in which all three roles carry a durable status (robust, conditional, or transformed). The construct is distinguishable from Knorr Cetina's (1999) </w:t>
      </w:r>
      <w:r>
        <w:rPr>
          <w:i/>
        </w:rPr>
        <w:t>epistemic culture</w:t>
      </w:r>
      <w:r>
        <w:t xml:space="preserve">, which operates at the field level and indexes shared knowledge-production conventions; from Haas's (1992) </w:t>
      </w:r>
      <w:r>
        <w:rPr>
          <w:i/>
        </w:rPr>
        <w:t>epistemic community</w:t>
      </w:r>
      <w:r>
        <w:t xml:space="preserve">, which indexes a network of policy-relevant experts; and from a generic </w:t>
      </w:r>
      <w:r>
        <w:rPr>
          <w:i/>
        </w:rPr>
        <w:t>joint-load-bearingness</w:t>
      </w:r>
      <w:r>
        <w:t xml:space="preserve"> reading, by being explicitly tied to the three procedural roles that the rubric individuates as the validity-bearing role-cells under AI embedding.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Independent of which observational level the lift is generated at, the design implication is the same: the three procedural roles co-vary closely enough that an organization embedding AI in research workflows should treat them as a single coordinated unit — one performer, one team, or one sign-off body — rather than allocating them across separate coordination structures (Puranam, Alexy, &amp; Reitzig, 2014, on new forms of organizing as task-allocation choices). Splitting them across structures would create the very provenance-vs-accountability merge pressure that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These three shapes are not deterministic outcomes of AI capability; they are </w:t>
      </w:r>
      <w:r>
        <w:rPr>
          <w:i/>
        </w:rPr>
        <w:t>occasions</w:t>
      </w:r>
      <w:r>
        <w:t xml:space="preserve"> for structuring whose realized form is shaped by the occupational community in which the workflow is embedded (Barley, 1986, on technology as occasion for structuring rather than determinant). The same agentic-pipeline capability deployed in a political-measurement community and in an anthropological-fieldnote community will not produce the same shrinkage shape, because the craft tradition into which it lands defines what counts as residual human labor. The 36-case repository codes the realized outcome but does not isolate the occasion-vs-determinant contribution; a v1.1 within-case occupational coding is the appropriate instrument.</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 xml:space="preserve">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A consistency of 0.857 clears Ragin's (2008) 0.75 minimum threshold for sufficiency claims but falls below the 0.90 threshold for </w:t>
      </w:r>
      <w:r>
        <w:rPr>
          <w:i/>
        </w:rPr>
        <w:t>strong</w:t>
      </w:r>
      <w:r>
        <w:t xml:space="preserve"> sufficiency: the relation is sufficient-with-material-exceptions (two of the 14 ground-truth-rich cases lack any shrinking task-cluster), so ground-truth-richness is close-to-sufficient </w:t>
      </w:r>
      <w:r>
        <w:rPr>
          <w:i/>
        </w:rPr>
        <w:t>with disclosed exceptions</w:t>
      </w:r>
      <w:r>
        <w:t xml:space="preserve"> rather than strongly sufficient. Coverage of 0.500 implies a second equifinal path (Ragin, 2008): of the 12 shrinking cases outside ground-truth-rich families, 9 are concentrated in the structural-prose-polishing cluster and arise where the task has </w:t>
      </w:r>
      <w:r>
        <w:rPr>
          <w:i/>
        </w:rPr>
        <w:t>clean post-hoc auditability</w:t>
      </w:r>
      <w:r>
        <w:t xml:space="preserve"> (an editor can compare draft to published prose) rather than public ground truth. The two-path equifinal reading — </w:t>
      </w:r>
      <w:r>
        <w:rPr>
          <w:i/>
        </w:rPr>
        <w:t>ground-truth-rich</w:t>
      </w:r>
      <w:r>
        <w:t xml:space="preserve"> OR </w:t>
      </w:r>
      <w:r>
        <w:rPr>
          <w:i/>
        </w:rPr>
        <w:t>clean-post-hoc-auditability</w:t>
      </w:r>
      <w:r>
        <w:t xml:space="preserve"> → </w:t>
      </w:r>
      <w:r>
        <w:rPr>
          <w:i/>
        </w:rPr>
        <w:t>has-shrinking</w:t>
      </w:r>
      <w:r>
        <w:t xml:space="preserve"> — is consistent with the data and recovers a coverage close to 0.875 jointly; we report this as a descriptive equifinality signal, not a Boolean-minimized solution, and the formal test awaits a larger-N QCA.</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As in §3.1, the configurational vocabulary here is interpretive scaffolding for the typology's role-segmentation finding rather than an independent inferential channel. With that orientation: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We follow Pratt, Kaplan, and Whittington (2020) in treating </w:t>
      </w:r>
      <w:r>
        <w:rPr>
          <w:i/>
        </w:rPr>
        <w:t>transparency</w:t>
      </w:r>
      <w:r>
        <w:t xml:space="preserve"> and </w:t>
      </w:r>
      <w:r>
        <w:rPr>
          <w:i/>
        </w:rPr>
        <w:t>replication</w:t>
      </w:r>
      <w:r>
        <w:t xml:space="preserve"> as decoupleable goals for qualitative-coded research: the κ pass reported below is a replication-yardstick test on a partly-interpretive instrument, and we read it as evidence about the rubric's </w:t>
      </w:r>
      <w:r>
        <w:rPr>
          <w:i/>
        </w:rPr>
        <w:t>non-reflexive portability</w:t>
      </w:r>
      <w:r>
        <w:t xml:space="preserve"> — whether a coder given only the anchors and the case files can recover the first coder's codings — rather than as a unified trustworthiness score. The second-coder pass was performed by a sandboxed large-language-model agent with context restricted to the rubric and the case files. An LLM cannot perform the reflexive interpretation that fully-interpretive coding requires; we therefore report the LLM-agent κ as a </w:t>
      </w:r>
      <w:r>
        <w:rPr>
          <w:i/>
        </w:rPr>
        <w:t>rubric-portability</w:t>
      </w:r>
      <w:r>
        <w:t xml:space="preserve"> test rather than as a trustworthiness instrument, and treat the audit trail, the released disagreement log, the date-stamped codebook version history, and the human second-coder pass we flag as an unmet commitment as the load-bearing trustworthiness instruments. The Appendix B subsample was coded </w:t>
      </w:r>
      <w:r>
        <w:rPr>
          <w:i/>
        </w:rPr>
        <w:t>blind</w:t>
      </w:r>
      <w:r>
        <w:t xml:space="preserve"> because methods-journal reviewers expect a blind-subsample test of the rubric's stand-alone usability; we did not conduct the </w:t>
      </w:r>
      <w:r>
        <w:rPr>
          <w:i/>
        </w:rPr>
        <w:t>calibration sessions</w:t>
      </w:r>
      <w:r>
        <w:t xml:space="preserve"> in which two coders discuss disagreements and re-code (the qualitative-trustworthiness counterpart to the blind-subsample test, per Pratt, Kaplan, and Whittington 2020), and the κ failure on </w:t>
      </w:r>
      <w:r>
        <w:rPr>
          <w:i/>
        </w:rPr>
        <w:t>conditional</w:t>
      </w:r>
      <w:r>
        <w:t xml:space="preserve"> and </w:t>
      </w:r>
      <w:r>
        <w:rPr>
          <w:i/>
        </w:rPr>
        <w:t>transformed</w:t>
      </w:r>
      <w:r>
        <w:t xml:space="preserve"> is therefore partly diagnostic of category interpretiveness and partly diagnostic of the absence of calibration. A v1.1 protocol that interleaves blind subsamples with calibration sessions on a held-out set is the appropriate next step.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For prevalence-imbalance-robustness, we additionally compute </w:t>
      </w:r>
      <w:r>
        <w:rPr>
          <w:b/>
        </w:rPr>
        <w:t>Krippendorff's α</w:t>
      </w:r>
      <w:r>
        <w:t xml:space="preserve"> (Krippendorff, 2011; Hayes &amp; Krippendorff, 2007), which on the 7-category collapsed scheme yields α = 0.278 and on the full 8-category scheme yields α = 0.298 — within 0.011 of κ on the same data. The convergence of α and κ at this level indicates the failure is not a κ-prevalence-asymmetry artifact: both statistics return the same diagnostic. The result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We read this as construct-validity-relevant in the Cronbach-Meehl-Messick-Borsboom sense (Cronbach &amp; Meehl, 1955; Messick, 1995; Borsboom et al., 2004): the two failing categories are not a procedural disagreement on observable anchors but a category-meaning gap between coders. A measurement-invariance reading is also worth flagging (Vandenberg &amp; Lance, 2000): the per-status κ of 0.000 on </w:t>
      </w:r>
      <w:r>
        <w:rPr>
          <w:i/>
        </w:rPr>
        <w:t>transformed</w:t>
      </w:r>
      <w:r>
        <w:t xml:space="preserve"> and 0.009 on </w:t>
      </w:r>
      <w:r>
        <w:rPr>
          <w:i/>
        </w:rPr>
        <w:t>conditional</w:t>
      </w:r>
      <w:r>
        <w:t xml:space="preserve"> is the diagnostic signature of </w:t>
      </w:r>
      <w:r>
        <w:rPr>
          <w:i/>
        </w:rPr>
        <w:t>configural-invariance failure</w:t>
      </w:r>
      <w:r>
        <w:t xml:space="preserve"> on those two anchors — the observable features that license a </w:t>
      </w:r>
      <w:r>
        <w:rPr>
          <w:i/>
        </w:rPr>
        <w:t>transformed</w:t>
      </w:r>
      <w:r>
        <w:t xml:space="preserve"> code in Measurement &amp; coding cases (verb swaps in coding pipelines) are not the same observables that fire </w:t>
      </w:r>
      <w:r>
        <w:rPr>
          <w:i/>
        </w:rPr>
        <w:t>transformed</w:t>
      </w:r>
      <w:r>
        <w:t xml:space="preserve"> in Reproducibility &amp; autonomous research cases (sub-task introduction at agent boundaries). Cross-family comparisons aggregating over these two statuses presuppose configural invariance the v1.0 rubric has not demonstrated. There is also an identity-theoretic reading worth flagging (Ramarajan, 2014): </w:t>
      </w:r>
      <w:r>
        <w:rPr>
          <w:i/>
        </w:rPr>
        <w:t>robust</w:t>
      </w:r>
      <w:r>
        <w:t xml:space="preserve"> and </w:t>
      </w:r>
      <w:r>
        <w:rPr>
          <w:i/>
        </w:rPr>
        <w:t>shrinking</w:t>
      </w:r>
      <w:r>
        <w:t xml:space="preserve"> describe role </w:t>
      </w:r>
      <w:r>
        <w:rPr>
          <w:i/>
        </w:rPr>
        <w:t>states</w:t>
      </w:r>
      <w:r>
        <w:t xml:space="preserve"> legible at a single time-point, while </w:t>
      </w:r>
      <w:r>
        <w:rPr>
          <w:i/>
        </w:rPr>
        <w:t>conditional</w:t>
      </w:r>
      <w:r>
        <w:t xml:space="preserve"> (role contingent on moderators) and </w:t>
      </w:r>
      <w:r>
        <w:rPr>
          <w:i/>
        </w:rPr>
        <w:t>transformed</w:t>
      </w:r>
      <w:r>
        <w:t xml:space="preserve"> (role content under revision) describe role </w:t>
      </w:r>
      <w:r>
        <w:rPr>
          <w:i/>
        </w:rPr>
        <w:t>transitions</w:t>
      </w:r>
      <w:r>
        <w:t xml:space="preserve"> — and transitions are inherently noisier to code from a single case-text snapshot than states are. A longitudinal reliability test that asks whether two coders agree on transition </w:t>
      </w:r>
      <w:r>
        <w:rPr>
          <w:i/>
        </w:rPr>
        <w:t>direction</w:t>
      </w:r>
      <w:r>
        <w:t xml:space="preserve"> across two time-points (rather than transition </w:t>
      </w:r>
      <w:r>
        <w:rPr>
          <w:i/>
        </w:rPr>
        <w:t>classification</w:t>
      </w:r>
      <w:r>
        <w:t xml:space="preserve"> at one time-point) is therefore a more appropriate v1.1 instrument for those two statuses, and the dominant disagreement axis we observe — whether a role is observable at all (see Appendix B) — is consistent with both readings. A cognitive-perceiver reading is also worth flagging (Lord, Foti, &amp; DeVader, 1984; Lord, Brown, Harvey, &amp; Hall, 2001): the first coder accessed prototypes built up across the §3.0 exemplars and the main coding pass; the LLM second coder accessed only the anchors and the case files, and per-status κ on </w:t>
      </w:r>
      <w:r>
        <w:rPr>
          <w:i/>
        </w:rPr>
        <w:t>conditional</w:t>
      </w:r>
      <w:r>
        <w:t xml:space="preserve"> (0.009) and </w:t>
      </w:r>
      <w:r>
        <w:rPr>
          <w:i/>
        </w:rPr>
        <w:t>transformed</w:t>
      </w:r>
      <w:r>
        <w:t xml:space="preserve"> (0.000) is the diagnostic signature one would predict when two perceivers operate from different prototype sets on transition-coded categories whose cognitive structure depends on a remembered before-state. The configural-invariance, identity-transition, and prototype-access readings converge on the same v1.1 instrument: human second coders trained on the prototypes prior to blind coding. A fourth scope condition follows from the work-and-occupations tradition (Barley &amp; Kunda, 2001; Anteby, Chan, &amp; DiBenigno, 2016): durable occupational roles often rest on tacit craft knowledge that resists codification and is therefore invisible in case-text features. The rubric's observability gate biases toward roles whose work is legible in writing — codebooks, inclusion rules, calibration benchmarks — and away from roles whose durability rests on unwritten apprenticeship-grade craft (e.g., reflexive interpretation in Hernandez, 2025). The audit's role-status counts should be read as conditioned on textual legibility; tacit-knowledge-load-bearing roles may be systematically under-counted in the </w:t>
      </w:r>
      <w:r>
        <w:rPr>
          <w:i/>
        </w:rPr>
        <w:t>robust</w:t>
      </w:r>
      <w:r>
        <w:t xml:space="preserve"> category. A third reading, complementary rather than alternative, is that the rubric itself participates in constituting role status rather than only describing it (Orlikowski &amp; Scott, 2008): the codebook's choice to individuate eight starting roles, the operationalization of </w:t>
      </w:r>
      <w:r>
        <w:rPr>
          <w:i/>
        </w:rPr>
        <w:t>load-bearing</w:t>
      </w:r>
      <w:r>
        <w:t xml:space="preserve"> as </w:t>
      </w:r>
      <w:r>
        <w:rPr>
          <w:i/>
        </w:rPr>
        <w:t>author-stated load-bearing</w:t>
      </w:r>
      <w:r>
        <w:t xml:space="preserve">, and the use of an LLM-agent second coder all configure what counts as a role, what counts as evidence for a status, and what counts as agreement. The rubric's outputs are intelligible </w:t>
      </w:r>
      <w:r>
        <w:rPr>
          <w:i/>
        </w:rPr>
        <w:t>as outputs of this rubric applied through this coding configuration</w:t>
      </w:r>
      <w:r>
        <w:t>; a different rubric would produce a different role-status landscape on the same cases. We do not regard this as invalidating the audit, but we treat it as a load-bearing scope condition.</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We deliberately do </w:t>
      </w:r>
      <w:r>
        <w:rPr>
          <w:i/>
        </w:rPr>
        <w:t>not</w:t>
      </w:r>
      <w:r>
        <w:t xml:space="preserve"> commit a v1.1 fix for the </w:t>
      </w:r>
      <w:r>
        <w:rPr>
          <w:i/>
        </w:rPr>
        <w:t>conditional</w:t>
      </w:r>
      <w:r>
        <w:t xml:space="preserve"> subtype problem. The 92 cells coded conditional may genuinely fail to admit a clean C-H/C-A split — moderator-gated human performance and AI-default-with-human-rescue may be points on a continuum rather than discrete subtypes — and forcing two annotation buckets onto a continuum would manufacture reliability the underlying construct does not support (Locke, Golden-Biddle, &amp; Feldman, 2008, on the generative role of unresolved doubt in research practice). We leave the conditional category operationally undifferentiated until the next 36 cases tell us whether the subtype distinction is empirically real or a coder's artifact. A planned v1.1 extension will </w:t>
      </w:r>
      <w:r>
        <w:rPr>
          <w:i/>
        </w:rPr>
        <w:t>evaluate</w:t>
      </w:r>
      <w:r>
        <w:t xml:space="preserve"> whether two conditional subtypes (</w:t>
      </w:r>
      <w:r>
        <w:rPr>
          <w:i/>
        </w:rPr>
        <w:t>C-H</w:t>
      </w:r>
      <w:r>
        <w:t xml:space="preserve">: human-default with AI assist; </w:t>
      </w:r>
      <w:r>
        <w:rPr>
          <w:i/>
        </w:rPr>
        <w:t>C-A</w:t>
      </w:r>
      <w:r>
        <w:t>: AI-default with human rescue) are warranted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We additionally pre-commit a CFA marker-variable test (Williams, Hartman, &amp; Cavazotte, 2010): per-case word count, publication year, and venue type will be entered as theoretically-unrelated marker variables, and the marker-corrected V values for case family and AI capability will be reported alongside the uncorrected values; if the marker-corrected V_family drops by more than 0.05, the H3 cell-level pattern is partly an artifact of single-source variance and should be re-described as such. We pre-commit v1.1 to a configural-invariance test in the Vandenberg-Lance (2000) sense: with two human coders and ≥ 50 cases per family, we will test whether each status anchor fires on equivalent observable features across families (configural), whether the conditional probability of firing given case features is equivalent (metric), and whether intercept-equivalent firing licenses cross-family count comparison (scalar). Failure of configural invariance on a status would block cross-family aggregation on that status; failure of metric or scalar invariance would block effect-size comparison. The pre-analysis plan is to be filed at OSF prior to v1.1 coding. A complementary inductive-rigor reading (Gioia, Corley, &amp; Hamilton, 2013) would expect each 2nd-order anchor in Table 1 to be traceable to 1st-order informant-language quotations for each (role × case) cell; the released </w:t>
      </w:r>
      <w:r>
        <w:rPr>
          <w:rFonts w:ascii="Consolas" w:hAnsi="Consolas"/>
          <w:sz w:val="21"/>
        </w:rPr>
        <w:t>quoted_evidence_sentence</w:t>
      </w:r>
      <w:r>
        <w:t xml:space="preserve"> column in </w:t>
      </w:r>
      <w:r>
        <w:rPr>
          <w:rFonts w:ascii="Consolas" w:hAnsi="Consolas"/>
          <w:sz w:val="21"/>
        </w:rPr>
        <w:t>role_coding_master.csv</w:t>
      </w:r>
      <w:r>
        <w:t xml:space="preserve"> is the audit-trail artifact for that test, and the per-status κ failure on </w:t>
      </w:r>
      <w:r>
        <w:rPr>
          <w:i/>
        </w:rPr>
        <w:t>conditional</w:t>
      </w:r>
      <w:r>
        <w:t xml:space="preserve"> and </w:t>
      </w:r>
      <w:r>
        <w:rPr>
          <w:i/>
        </w:rPr>
        <w:t>transformed</w:t>
      </w:r>
      <w:r>
        <w:t xml:space="preserve"> is consistent with weaker 1st-order anchoring on transition-coded statuses, which a v1.1 protocol that strengthens 1st-order quotation discipline on those two categories is the appropriate next instrument for.</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as documented in </w:t>
      </w:r>
      <w:r>
        <w:rPr>
          <w:rFonts w:ascii="Consolas" w:hAnsi="Consolas"/>
          <w:sz w:val="21"/>
        </w:rPr>
        <w:t>30_reviews/OSF_preregistration.md</w:t>
      </w:r>
      <w:r>
        <w:t xml:space="preserve"> and the Transparency block, is the per-role paired sign test (</w:t>
      </w:r>
      <w:r>
        <w:rPr>
          <w:i/>
        </w:rPr>
        <w:t>p</w:t>
      </w:r>
      <w:r>
        <w:t xml:space="preserve"> = 0.004 on 14 of 16 positive differences). On the same 16 paired differences the paired Wilcoxon signed-rank yields </w:t>
      </w:r>
      <w:r>
        <w:rPr>
          <w:i/>
        </w:rPr>
        <w:t>W</w:t>
      </w:r>
      <w:r>
        <w:t xml:space="preserve"> = 7, </w:t>
      </w:r>
      <w:r>
        <w:rPr>
          <w:i/>
        </w:rPr>
        <w:t>p</w:t>
      </w:r>
      <w:r>
        <w:t xml:space="preserve"> = 0.0006; we report the Wilcoxon as the headline statistic because it uses the </w:t>
      </w:r>
      <w:r>
        <w:rPr>
          <w:i/>
        </w:rPr>
        <w:t>magnitude</w:t>
      </w:r>
      <w:r>
        <w:t xml:space="preserve"> of paired V differences rather than only their sign, but we flag this as a post-hoc choice of </w:t>
      </w:r>
      <w:r>
        <w:rPr>
          <w:i/>
        </w:rPr>
        <w:t>statistic</w:t>
      </w:r>
      <w:r>
        <w:t xml:space="preserve"> on the same 16 paired comparisons rather than a post-hoc choice of test family — both tests reject the null at α = 0.05 and both survive Holm correction across the six-test confirmatory family enumerated below. The substantive verdict therefore does not depend on the choice between the pre-committed sign test and the headline Wilcoxon.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and indeed sits within the attenuation introduced by an instrument with κ = 0.289 (the V values are not corrected for instrument unreliability and disattenuation would shift both upward by similar amounts). A more pointed measurement-invariance reading is that the cross-lens gap of 0.020 is interpretable only if the rubric's anchors fire on the same latent construct across the 8 case families and the 3 AI-capability categories — a configural-invariance condition the v1.0 rubric has not tested. Until that condition is established, the cross-lens contrast is descriptive of the rubric, not of the field.</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The pre-specified confirmatory family for H1–H3 contains six tests, against which a Holm step-down correction is applied at α = 0.05 (computed in </w:t>
      </w:r>
      <w:r>
        <w:rPr>
          <w:rFonts w:ascii="Consolas" w:hAnsi="Consolas"/>
          <w:sz w:val="21"/>
        </w:rPr>
        <w:t>scripts/section6_analysis.py</w:t>
      </w:r>
      <w:r>
        <w:t xml:space="preserve">): (1) cell-level Monte-Carlo on case family (raw </w:t>
      </w:r>
      <w:r>
        <w:rPr>
          <w:i/>
        </w:rPr>
        <w:t>p</w:t>
      </w:r>
      <w:r>
        <w:t xml:space="preserve"> = 0.0002, Holm-adjusted </w:t>
      </w:r>
      <w:r>
        <w:rPr>
          <w:i/>
        </w:rPr>
        <w:t>p</w:t>
      </w:r>
      <w:r>
        <w:t xml:space="preserve"> = 0.0012); (2) per-role Wilcoxon signed-rank (raw </w:t>
      </w:r>
      <w:r>
        <w:rPr>
          <w:i/>
        </w:rPr>
        <w:t>p</w:t>
      </w:r>
      <w:r>
        <w:t xml:space="preserve"> = 0.0006, Holm-adjusted </w:t>
      </w:r>
      <w:r>
        <w:rPr>
          <w:i/>
        </w:rPr>
        <w:t>p</w:t>
      </w:r>
      <w:r>
        <w:t xml:space="preserve"> = 0.003); (3) cell-level Monte-Carlo on AI capability (raw </w:t>
      </w:r>
      <w:r>
        <w:rPr>
          <w:i/>
        </w:rPr>
        <w:t>p</w:t>
      </w:r>
      <w:r>
        <w:t xml:space="preserve"> = 0.0012, Holm-adjusted </w:t>
      </w:r>
      <w:r>
        <w:rPr>
          <w:i/>
        </w:rPr>
        <w:t>p</w:t>
      </w:r>
      <w:r>
        <w:t xml:space="preserve"> = 0.005); (4) per-role paired sign test (raw </w:t>
      </w:r>
      <w:r>
        <w:rPr>
          <w:i/>
        </w:rPr>
        <w:t>p</w:t>
      </w:r>
      <w:r>
        <w:t xml:space="preserve"> = 0.004, Holm-adjusted </w:t>
      </w:r>
      <w:r>
        <w:rPr>
          <w:i/>
        </w:rPr>
        <w:t>p</w:t>
      </w:r>
      <w:r>
        <w:t xml:space="preserve"> = 0.013); (5) case-level Monte-Carlo on case family (raw </w:t>
      </w:r>
      <w:r>
        <w:rPr>
          <w:i/>
        </w:rPr>
        <w:t>p</w:t>
      </w:r>
      <w:r>
        <w:t xml:space="preserve"> = 0.58, Holm-adjusted </w:t>
      </w:r>
      <w:r>
        <w:rPr>
          <w:i/>
        </w:rPr>
        <w:t>p</w:t>
      </w:r>
      <w:r>
        <w:t xml:space="preserve"> = 0.58); and (6) case-level Monte-Carlo on AI capability (raw </w:t>
      </w:r>
      <w:r>
        <w:rPr>
          <w:i/>
        </w:rPr>
        <w:t>p</w:t>
      </w:r>
      <w:r>
        <w:t xml:space="preserve"> = 0.33, Holm-adjusted </w:t>
      </w:r>
      <w:r>
        <w:rPr>
          <w:i/>
        </w:rPr>
        <w:t>p</w:t>
      </w:r>
      <w:r>
        <w:t xml:space="preserve"> = 0.66). Tests (1)–(4) survive Holm correction; tests (5) and (6) do not.</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 xml:space="preserve">Framed this way, the paper's contribution stays appropriately bounded for a methods journal. </w:t>
      </w:r>
      <w:r>
        <w:rPr>
          <w:b/>
        </w:rPr>
        <w:t>What the 36-case audit cannot license.</w:t>
      </w:r>
      <w:r>
        <w:t xml:space="preserve"> Following the small-N inferential discipline of King, Keohane, and Verba (1994), we enumerate the inferences the design rules out. (i) </w:t>
      </w:r>
      <w:r>
        <w:rPr>
          <w:i/>
        </w:rPr>
        <w:t>Population-level effect estimates</w:t>
      </w:r>
      <w:r>
        <w:t xml:space="preserve">: the design has no defined target population, only a visibility-filtered convenience sample; the cross-family V = 0.260 is a within-sample association, not an effect estimate. (ii) </w:t>
      </w:r>
      <w:r>
        <w:rPr>
          <w:i/>
        </w:rPr>
        <w:t>Causal claims about what produces durability or shrinkage</w:t>
      </w:r>
      <w:r>
        <w:t xml:space="preserve">: case family and AI capability are jointly selected by the same visibility filter, so neither can be isolated as a cause of role status; the H3 cell-level cross-lens contrast is a within-sample association at the cell level, not a population-level effect. (iii) </w:t>
      </w:r>
      <w:r>
        <w:rPr>
          <w:i/>
        </w:rPr>
        <w:t>Selection-bias correction</w:t>
      </w:r>
      <w:r>
        <w:t xml:space="preserve">: cases visible enough to enter the database are partly cases where the procedural role was robust enough to produce a publishable workflow, biasing the durable-roles count upward — collapsed-procedure cases plausibly fail to publish and are never coded. The H1 verdict is therefore conditioned on the visibility filter and cannot be extrapolated to the unobserved population of attempted-but-unpublished AI-in-research projects. (iv) </w:t>
      </w:r>
      <w:r>
        <w:rPr>
          <w:i/>
        </w:rPr>
        <w:t>Mechanistic claims about coordination structure</w:t>
      </w:r>
      <w:r>
        <w:t xml:space="preserve">: no within-case coding of who-performs-the-role-cell exists at v1.0; the v1.1 within-case extension is the appropriate instrument. (v) </w:t>
      </w:r>
      <w:r>
        <w:rPr>
          <w:i/>
        </w:rPr>
        <w:t>Prescriptive claims</w:t>
      </w:r>
      <w:r>
        <w:t xml:space="preserve">: the §7 author/reviewer/institution recommendations are </w:t>
      </w:r>
      <w:r>
        <w:rPr>
          <w:i/>
        </w:rPr>
        <w:t>normative</w:t>
      </w:r>
      <w:r>
        <w:t xml:space="preserve"> inferences from the descriptive pattern, not estimates from the coding, and §7 will flag this distinction explicitly. The 2027 hold-out, the v1.1 within-case extension, the configural-invariance test, and a stranger-coder replication are the appropriate next instruments.</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also generates forward-looking predictions the repository does not yet test. We frame these predictions in the </w:t>
      </w:r>
      <w:r>
        <w:rPr>
          <w:i/>
        </w:rPr>
        <w:t>inductive-extension</w:t>
      </w:r>
      <w:r>
        <w:t xml:space="preserve"> mode (Welch, Piekkari, Plakoyiannaki, &amp; Paavilainen-Mäntymäki, 2011 on theorizing forms in case research; Cornelissen, Höllerer, &amp; Seidl, 2021 on the importance of declaring theorizing form): they extrapolate from observed configurational signals to as-yet-unobserved (case × year) cells rather than deductively prove anything from a closed theory. They are corrigible by future cases, and the falsifying observations are pre-specified.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is silent on whether the merge appears at the level of an individual researcher's two-role attachment or at the level of a research-team reorganization of who signs off on what (Woolley et al., 2010 on team-level division of labor versus individual role attachment), and both observation modes count as confirmatory.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here too, the prediction is silent on whether the transformation occurs through change in an individual researcher's role content or through reallocation of who in the team performs which sub-task. We restate these predictions as numbered propositions (Eisenhardt &amp; Graebner, 2007) for theory-extension testing on out-of-sample cases: </w:t>
      </w:r>
      <w:r>
        <w:rPr>
          <w:b/>
        </w:rPr>
        <w:t>P1</w:t>
      </w:r>
      <w:r>
        <w:t xml:space="preserve">: Procedural roles (protocol-and-provenance, calibration, accountability) co-occur as a single epistemic-guardian configuration; their statuses are not independently distributable. </w:t>
      </w:r>
      <w:r>
        <w:rPr>
          <w:b/>
        </w:rPr>
        <w:t>P2</w:t>
      </w:r>
      <w:r>
        <w:t xml:space="preserve">: Shrinkage clusters where the joint conjunction </w:t>
      </w:r>
      <w:r>
        <w:rPr>
          <w:i/>
        </w:rPr>
        <w:t>public-ground-truth ∨ 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 P1–P3 are testable on the pre-specified 2027 hold-out and articulate a co-evolving (capability × role-status) trajectory rather than role-status change against fixed capability — capability evolution is itself partly produced by the deployments that motivate the predictions (Faraj &amp; Pachidi, 2021), and the 2027 hold-out should code capability and role-status jointly. These predictions are empirically testable against a 2027 extension of the repository and are offered as falsifiable extensions of the framework, not as established findings. The 2027 hold-out sampling frame is pre-specified as: published or preprinted between 2026-07-01 and 2027-12-31, AI-in-research as primary empirical object, full-text retrievable, with stratification by the eight case-family clusters used in Table 3a to mitigate visibility bias; target </w:t>
      </w:r>
      <w:r>
        <w:rPr>
          <w:i/>
        </w:rPr>
        <w:t>N</w:t>
      </w:r>
      <w:r>
        <w:t xml:space="preserve"> = 60 cases (24 new + 36 retained as anchors), powered at 0.80 to detect a 0.10 absolute shift in transformed-status prevalence for accountability and labor allocator under a one-sample binomial test against the 2024–2026 baseline of 7/36 = 0.194. Falsification thresholds per prediction: (i) merge pressure between </w:t>
      </w:r>
      <w:r>
        <w:rPr>
          <w:i/>
        </w:rPr>
        <w:t>protocol and provenance architect</w:t>
      </w:r>
      <w:r>
        <w:t xml:space="preserve"> and </w:t>
      </w:r>
      <w:r>
        <w:rPr>
          <w:i/>
        </w:rPr>
        <w:t>accountability and labor allocator</w:t>
      </w:r>
      <w:r>
        <w:t xml:space="preserve"> is falsified if the 2027 hold-out shows ≤ 2 such codings (matching the 2024–2026 base rate within sampling error); (ii) split-pressure migration toward </w:t>
      </w:r>
      <w:r>
        <w:rPr>
          <w:i/>
        </w:rPr>
        <w:t>calibration architect</w:t>
      </w:r>
      <w:r>
        <w:t xml:space="preserve"> is falsified if the calibration-architect split-pressure count fails to exceed the context-witness split-pressure count by ≥ 3 codings; (iii) </w:t>
      </w:r>
      <w:r>
        <w:rPr>
          <w:i/>
        </w:rPr>
        <w:t>transformed</w:t>
      </w:r>
      <w:r>
        <w:t xml:space="preserve"> becoming modal for </w:t>
      </w:r>
      <w:r>
        <w:rPr>
          <w:i/>
        </w:rPr>
        <w:t>accountability and labor allocator</w:t>
      </w:r>
      <w:r>
        <w:t xml:space="preserve"> is falsified if its transformed-prevalence fails to exceed both its conditional and robust prevalences in the hold-out. The pre-committed analysis script for the 2027 pass — with seeds, Holm-corrected confirmatory-test family across the three predictions, and case-cluster bootstrap on V_family stability — is to be deposited as </w:t>
      </w:r>
      <w:r>
        <w:rPr>
          <w:rFonts w:ascii="Consolas" w:hAnsi="Consolas"/>
          <w:sz w:val="21"/>
        </w:rPr>
        <w:t>scripts/section7_2027_holdout.py</w:t>
      </w:r>
      <w:r>
        <w:t xml:space="preserve"> at the v1.0.0-ORM-submission release tag, in the common-task-method discipline (Salganik, 2018; Salganik et al., 2020) extended from hypothesis testing to forward-prediction extension. Each prediction is conditional on the 2027 capability distribution being a smooth continuation of the 2024–2026 window the rubric was built on; if frontier capability shifts produce a structurally different distribution (e.g., reliable multi-day autonomy at scale, or a measurement-bias regime not captured by the current generative/agentic/predictive triad), the predictions are not falsified so much as rendered out-of-distribution (Bail, 2024 on the moving-target risk for AI-in-social-science frameworks).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 xml:space="preserve">Tables 5 and 6 are </w:t>
      </w:r>
      <w:r>
        <w:rPr>
          <w:i/>
        </w:rPr>
        <w:t>prescriptive</w:t>
      </w:r>
      <w:r>
        <w:t xml:space="preserve"> recommendations derived by authorial judgment from the descriptive 36-case audit, not direct inferences from the coding (King, Keohane, &amp; Verba, 1994, on the descriptive-vs-prescriptive distinction in small-N inference). The 36-case audit licenses the descriptive claim that durable roles cluster around procedure, calibration, and accountability; it does not license the further claim that any specific authorial practice would have produced or would reproduce that clustering. The implied coordination mechanisms in Table 6 are conjectures consistent with the pattern, not estimated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with explicitly differentiated levels of inferential support — boundary-setting and procedure-setting roles survive more often than routine production clusters (H1), shrinkage clusters where auditability and public ground truth are strongest (H2), and case family is a stronger </w:t>
      </w:r>
      <w:r>
        <w:rPr>
          <w:i/>
        </w:rPr>
        <w:t>cell-level</w:t>
      </w:r>
      <w:r>
        <w:t xml:space="preserve"> associate of role status than AI capability (H3; per-role Wilcoxon </w:t>
      </w:r>
      <w:r>
        <w:rPr>
          <w:i/>
        </w:rPr>
        <w:t>p</w:t>
      </w:r>
      <w:r>
        <w:t xml:space="preserve"> = 0.0006 and cell-level Monte-Carlo </w:t>
      </w:r>
      <w:r>
        <w:rPr>
          <w:i/>
        </w:rPr>
        <w:t>p</w:t>
      </w:r>
      <w:r>
        <w:t xml:space="preserve"> = 0.0002 both survive Holm correction, but the clustering-aware case-level Monte-Carlo </w:t>
      </w:r>
      <w:r>
        <w:rPr>
          <w:i/>
        </w:rPr>
        <w:t>p</w:t>
      </w:r>
      <w:r>
        <w:t xml:space="preserve"> = 0.58 does not, so H3 is bounded to the cell-level association at N = 36 cases).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Salganik, 2018. *Bit by Bit: Social Research in the Digital Age*. Princeton University Press. [BG086]</w:t>
      </w:r>
    </w:p>
    <w:p>
      <w:pPr>
        <w:pStyle w:val="ListBullet"/>
      </w:pPr>
      <w:r>
        <w:t>Salganik, Lundberg, Kindel, et al., 2020. Measuring the predictability of life outcomes with a scientific mass collaboration. *Proceedings of the National Academy of Sciences*, 117(15), 8398–8403. [BG087]</w:t>
      </w:r>
    </w:p>
    <w:p>
      <w:pPr>
        <w:pStyle w:val="ListBullet"/>
      </w:pPr>
      <w:r>
        <w:t>Bechky, 2003. Object lessons: Workplace artifacts as representations of occupational jurisdiction. *American Journal of Sociology*, 109(3), 720–752. [BG088]</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Golden-Biddle, and Feldman, 2008. Making doubt generative: Rethinking the role of doubt in the research process. *Organization Science*, 19(6), 907–918. [BG093]</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Suddaby and Greenwood, 2005. Rhetorical strategies of legitimacy. *Administrative Science Quarterly*, 50(1), 35–67. [BG098]</w:t>
      </w:r>
    </w:p>
    <w:p>
      <w:pPr>
        <w:pStyle w:val="ListBullet"/>
      </w:pPr>
      <w:r>
        <w:t>Knorr Cetina, 1999. *Epistemic Cultures: How the Sciences Make Knowledge*. Harvard University Press. [BG099]</w:t>
      </w:r>
    </w:p>
    <w:p>
      <w:pPr>
        <w:pStyle w:val="ListBullet"/>
      </w:pPr>
      <w:r>
        <w:t>Tilcsik, 2010. From ritual to reality: Demography, ideology, and decoupling in a post-communist government agency. *Academy of Management Journal*, 53(6), 1474–1498. [BG100]</w:t>
      </w:r>
    </w:p>
    <w:p>
      <w:pPr>
        <w:pStyle w:val="ListBullet"/>
      </w:pPr>
      <w:r>
        <w:t>Haas, 1992. Introduction: Epistemic communities and international policy coordination. *International Organization*, 46(1), 1–35. [BG101]</w:t>
      </w:r>
    </w:p>
    <w:p>
      <w:pPr>
        <w:pStyle w:val="ListBullet"/>
      </w:pPr>
      <w:r>
        <w:t>Williams, Hartman, and Cavazotte, 2010. Method variance and marker variables: A review and comprehensive CFA marker technique. *Organizational Research Methods*, 13(3), 477–514. [BG102]</w:t>
      </w:r>
    </w:p>
    <w:p>
      <w:pPr>
        <w:pStyle w:val="ListBullet"/>
      </w:pPr>
      <w:r>
        <w:t>Williams and McGonagle, 2016. Four research designs and a comprehensive analysis strategy for investigating common method variance. *Journal of Business and Psychology*, 31(3), 339–359. [BG103]</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Lord, Brown, Harvey, and Hall, 2001. Contextual constraints on prototype generation and their multilevel consequences for leadership perceptions. *Leadership Quarterly*, 12(3), 311–338. [BG105]</w:t>
      </w:r>
    </w:p>
    <w:p>
      <w:pPr>
        <w:pStyle w:val="ListBullet"/>
      </w:pPr>
      <w:r>
        <w:t>Eisenhardt and Graebner, 2007. Theory building from cases: Opportunities and challenges. *Academy of Management Journal*, 50(1), 25–32. [BG106]</w:t>
      </w:r>
    </w:p>
    <w:p>
      <w:pPr>
        <w:pStyle w:val="ListBullet"/>
      </w:pPr>
      <w:r>
        <w:t>Faraj, Pachidi, and Sayegh, 2018. Working and organizing in the age of the learning algorithm. *Information and Organization*, 28(1), 62–70. [BG107]</w:t>
      </w:r>
    </w:p>
    <w:p>
      <w:pPr>
        <w:pStyle w:val="ListBullet"/>
      </w:pPr>
      <w:r>
        <w:t>Faraj and Pachidi, 2021. Beyond Uberization: The co-constitution of technology and organizing. *Organization Theory*, 2(1), 1–14. [BG108]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