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Behaviorally-Anchored Rubric for Coding Role-System Change Under AI Embedding: Comparative Typology Audit of 36 Cases</w:t>
      </w:r>
    </w:p>
    <w:p>
      <w:pPr>
        <w:pStyle w:val="Heading1"/>
      </w:pPr>
      <w:r>
        <w:t>Abstract</w:t>
      </w:r>
    </w:p>
    <w:p>
      <w:r>
        <w:t xml:space="preserve">Debate about AI in research is still often framed as a contest between humans and models. That framing is too coarse for the current evidence. </w:t>
      </w:r>
      <w:r>
        <w:rPr>
          <w:b/>
        </w:rPr>
        <w:t>We make three contributions.</w:t>
      </w:r>
      <w:r>
        <w:t xml:space="preserve">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Inter-coder agreement was below the pre-committed κ ≥ 0.60 threshold; v1.1 instruments (configural-invariance test, marker-variable CMV bound, human second-coder pass) are pre-committed. We offer this as a candidate framework with a v1.0 rubric and hope it serves as a catalyst for instrument-grade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Before describing the audit, we clarify the rubric's paradigm location. The audit operates within the modernist measurement tradition of organizational research, in the construct-validity lineage. It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the §6 reliability and limits section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Reger, &amp; Pfarrer,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36 cases × 17 roles,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 The mutability of the typology — its capacity to admit split and merge pressure — follows the typology-as-theory-building tradition: typologies are productive when they are revisable under empirical pressure (Doty &amp; Glick, 1994; Fiss, 2011; Delbridge &amp; Fiss, 2013; Cornelissen, 2017; Cornelissen, Höllerer, &amp; Seidl, 2021). The rubric performs configurational theorizing in the sense of Furnari et al. (2021): the typology's mutability operationalizes their </w:t>
      </w:r>
      <w:r>
        <w:rPr>
          <w:i/>
        </w:rPr>
        <w:t>scoping</w:t>
      </w:r>
      <w:r>
        <w:t xml:space="preserve">, </w:t>
      </w:r>
      <w:r>
        <w:rPr>
          <w:i/>
        </w:rPr>
        <w:t>linking</w:t>
      </w:r>
      <w:r>
        <w:t xml:space="preserve">, and </w:t>
      </w:r>
      <w:r>
        <w:rPr>
          <w:i/>
        </w:rPr>
        <w:t>naming</w:t>
      </w:r>
      <w:r>
        <w:t xml:space="preserve"> heuristics.</w:t>
      </w:r>
    </w:p>
    <w:p>
      <w:r>
        <w:t xml:space="preserve">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Törnberg,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3.2 Procedure, Boundary Setting, and Calibration in Evidence</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Hartman, &amp; Cavazotte,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Alexy, &amp; Reitzig,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that are consistent with mechanisms catalogued in the labor-economics literature on automation; the audit codes the realized shape and does not adjudicate among the underlying mechanisms. </w:t>
      </w:r>
      <w:r>
        <w:rPr>
          <w:i/>
        </w:rPr>
        <w:t>Deskilling</w:t>
      </w:r>
      <w:r>
        <w:t xml:space="preserve"> — the role's content is simplified and the skill demand on the human contracts — is consistent with Autor's (2015) routinization-pressure mechanism,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is consistent with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Split pressure is therefore not a weakness in the typology but a configurational finding: in Furnari et al.'s (2021) vocabulary, split pressure operates as the </w:t>
      </w:r>
      <w:r>
        <w:rPr>
          <w:i/>
        </w:rPr>
        <w:t>scoping</w:t>
      </w:r>
      <w:r>
        <w:t xml:space="preserve"> heuristic and merge pressure as </w:t>
      </w:r>
      <w:r>
        <w:rPr>
          <w:i/>
        </w:rPr>
        <w:t>linking</w:t>
      </w:r>
      <w:r>
        <w:t>.</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6. Rival Explanations and Limits</w:t>
      </w:r>
    </w:p>
    <w:p>
      <w:pPr>
        <w:pStyle w:val="Heading2"/>
      </w:pPr>
      <w:r>
        <w:t>6.1 Rival explanations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32 cases yields 13 positive differences out of 15 defined roles (one role drops because its V is undefined on the 32-case subset;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Törnberg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CI [0.261, 0.430], V_capability 95% CI [0.193, 0.451], and V_gap 95%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Keohane, &amp; Verba,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cluster onto two aggregate dimensions that emerged from the audit rather than being imposed from prior theory (Gioia, Corley, &amp; Hamilton, 2013): an </w:t>
      </w:r>
      <w:r>
        <w:rPr>
          <w:i/>
        </w:rPr>
        <w:t>allocation</w:t>
      </w:r>
      <w:r>
        <w:t xml:space="preserve"> axis (robust → conditional → transformed → shrinking) tracking how human performance yields scope, content, then volume; and a </w:t>
      </w:r>
      <w:r>
        <w:rPr>
          <w:i/>
        </w:rPr>
        <w:t>specification</w:t>
      </w:r>
      <w:r>
        <w:t xml:space="preserve"> axis (split and merge pressure) revising the unit of analysis.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b/>
        </w:rPr>
        <w:t>P1</w:t>
      </w:r>
      <w:r>
        <w:t xml:space="preserve"> procedural roles co-occur as a single epistemic-guardian configuration; </w:t>
      </w:r>
      <w:r>
        <w:rPr>
          <w:b/>
        </w:rPr>
        <w:t>P2</w:t>
      </w:r>
      <w:r>
        <w:t xml:space="preserve"> shrinkage clusters where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Three artifacts together constitute the contribution: (1) the v1.0 rubric — a behaviorally-anchored instrument for coding role-status change at the (role × case) cell level; (2) the released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rubric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contribution. We hope the rubric serves as a catalyst for instrument-grade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w:t>
      </w:r>
      <w:r>
        <w:rPr>
          <w:i/>
        </w:rPr>
        <w:t>V</w:t>
      </w:r>
      <w:r>
        <w:t xml:space="preserve">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w:t>
      </w:r>
      <w:r>
        <w:rPr>
          <w:i/>
        </w:rPr>
        <w:t>V</w:t>
      </w:r>
      <w:r>
        <w:t xml:space="preserve"> CIs (</w:t>
      </w:r>
      <w:r>
        <w:rPr>
          <w:i/>
        </w:rPr>
        <w:t>B</w:t>
      </w:r>
      <w:r>
        <w:t xml:space="preserve"> = 2,000, seed 20260425), per-role paired Wilcoxon </w:t>
      </w:r>
      <w:r>
        <w:rPr>
          <w:i/>
        </w:rPr>
        <w:t>W</w:t>
      </w:r>
      <w:r>
        <w:t xml:space="preserve"> = 7 / </w:t>
      </w:r>
      <w:r>
        <w:rPr>
          <w:i/>
        </w:rPr>
        <w:t>p</w:t>
      </w:r>
      <w:r>
        <w:t xml:space="preserve"> = 0.0006 and the sign-test companion </w:t>
      </w:r>
      <w:r>
        <w:rPr>
          <w:i/>
        </w:rPr>
        <w:t>p</w:t>
      </w:r>
      <w:r>
        <w:t xml:space="preserve"> = 0.004, </w:t>
      </w:r>
      <w:r>
        <w:rPr>
          <w:i/>
        </w:rPr>
        <w:t>V</w:t>
      </w:r>
      <w:r>
        <w:t xml:space="preserve">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Chicago, IL: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Thousand Oaks, CA: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Chicago, IL: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NJ: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San Francisco, CA: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