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Typology of Role-System Change Under AI Embedding: Evidence from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one case (a proposed pedagogical configuration whose codings are design-time projections) is held back from the v1.0 inferential base, leaving 35 cases and 595 codings for the headline analysis.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and report the resulting pattern: three procedural-validity roles (protocol-and-provenance architect, calibration architect, accountability-and-labor allocator) co-occur as a </w:t>
      </w:r>
      <w:r>
        <w:rPr>
          <w:i/>
        </w:rPr>
        <w:t>durable</w:t>
      </w:r>
      <w:r>
        <w:t xml:space="preserve"> configuration in 12 of 35 cases, 1.44× the count expected under marginal independence — the candidate </w:t>
      </w:r>
      <w:r>
        <w:rPr>
          <w:i/>
        </w:rPr>
        <w:t>epistemic-guardian</w:t>
      </w:r>
      <w:r>
        <w:t xml:space="preserve"> signature; three throughput clusters shrink in 38 observations (routine first-pass screening, high-consensus coding on ground-truth-rich tasks, structural prose polishing). H3 is supported as a cell-level association (Monte-Carlo </w:t>
      </w:r>
      <w:r>
        <w:rPr>
          <w:i/>
        </w:rPr>
        <w:t>p</w:t>
      </w:r>
      <w:r>
        <w:t xml:space="preserve"> = 0.0001) and on the Wilcoxon signed-rank (</w:t>
      </w:r>
      <w:r>
        <w:rPr>
          <w:i/>
        </w:rPr>
        <w:t>p</w:t>
      </w:r>
      <w:r>
        <w:t xml:space="preserve"> = 0.011) but does not reach significance on the pre-committed two-sided sign test (12 of 16 positive role-pairs; </w:t>
      </w:r>
      <w:r>
        <w:rPr>
          <w:i/>
        </w:rPr>
        <w:t>p</w:t>
      </w:r>
      <w:r>
        <w:t xml:space="preserve"> = 0.077) or under the clustering-aware case-level null at </w:t>
      </w:r>
      <w:r>
        <w:rPr>
          <w:i/>
        </w:rPr>
        <w:t>N</w:t>
      </w:r>
      <w:r>
        <w:t xml:space="preserve"> = 35 (</w:t>
      </w:r>
      <w:r>
        <w:rPr>
          <w:i/>
        </w:rPr>
        <w:t>p</w:t>
      </w:r>
      <w:r>
        <w:t xml:space="preserve"> = 0.34). Reliability is reported as a v1.0 baseline (§6.2); v1.1 instruments — a case-family DIF and latent-class-invariance test, a fully-blind human second-coder pass with cross-coder DIF on the six-status responses, and a within-case transition-coding extension — are pre-committed. We offer this as a comparative typology audit with a v1.0 rubric — anchored deductively to the automation-augmentation paradox and inductively to the specification operations the cases forced — and hope it serves as a catalyst for further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 xml:space="preserve">The paper asks a straightforward research question: across the full repository, which human research roles are robust, conditional, transformed, shrinking, or mis-specified under generative, agentic, and predictive AI? It carries three theoretically attributed hypotheses into the comparative analysis. </w:t>
      </w:r>
      <w:r>
        <w:rPr>
          <w:i/>
        </w:rPr>
        <w:t>H1</w:t>
      </w:r>
      <w:r>
        <w:t xml:space="preserve"> — boundary-setting and procedure-setting roles should survive more often than routine production tasks — is an Abbott (1988) jurisdictional-stability prediction rescaled from the occupation to the activity-level role: settled diagnostic and legitimation jurisdiction is harder to displace than throughput jurisdiction because the former carries the inference-licensing function that survives tool substitution. </w:t>
      </w:r>
      <w:r>
        <w:rPr>
          <w:i/>
        </w:rPr>
        <w:t>H2</w:t>
      </w:r>
      <w:r>
        <w:t xml:space="preserve"> — shrinkage should cluster where tasks have public ground truth and clean post-hoc auditability — is a joint Autor (2015) routinization and Frey &amp; Osborne (2017) substitution prediction: tasks decomposable into rule-followable subtasks with observable evaluation targets are the ones automation substitutes for rather than augments. </w:t>
      </w:r>
      <w:r>
        <w:rPr>
          <w:i/>
        </w:rPr>
        <w:t>H3</w:t>
      </w:r>
      <w:r>
        <w:t xml:space="preserve"> — role status should vary more by research stage and institutional setting than by AI capability label alone — is a Barley (1986) task-structure-as-occasion-for-structuring prediction: AI capabilities are occasions whose realized organizational form is shaped by the task-structure and occupational community into which they land, so case-family variance should dominate capability-label variance.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integrative-theoretical work is scoped to the rubric's jurisdictional rescaling rather than to a stand-alone theory of role-system change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qualify for the v1.0 inferential base under three criteria, in the systematic-review tradition of explicit inclusion rules and reporting (Page et al., 2021; Tranfield et al., 2003; Siddaway et al., 2019). </w:t>
      </w:r>
      <w:r>
        <w:rPr>
          <w:b/>
        </w:rPr>
        <w:t>(C1) Scope.</w:t>
      </w:r>
      <w:r>
        <w:t xml:space="preserve"> Each case is published or preprinted 2023–2026 (post-LLM-saturation) and has AI embedded in a methodological step of a research workflow — measurement, screening, interpretation, synthesis, reproducibility, authorship, or autonomous pipeline; cases that treat AI as a tested object (LLM-benchmark studies), as an incidental writing aid alone, or as an off-research application are out of scope. </w:t>
      </w:r>
      <w:r>
        <w:rPr>
          <w:b/>
        </w:rPr>
        <w:t>(C2) Evidentiary base.</w:t>
      </w:r>
      <w:r>
        <w:t xml:space="preserve"> The case file contains quotable sentences for at least three role-cell anchors, and the primary source is at peer-reviewed, preprint, conference, or canonical-public-project stratum; proposed-design configurations whose codings are design-time projections of an executed study are admitted only as v1.1 hold-out, not into the v1.0 base. </w:t>
      </w:r>
      <w:r>
        <w:rPr>
          <w:b/>
        </w:rPr>
        <w:t>(C3) Analytical-framing distinctness.</w:t>
      </w:r>
      <w:r>
        <w:t xml:space="preserve"> When two cases share a primary source, they must produce materially disjoint role-cell coverage (operationalized as ≥30% disjoint populated-cell sets) and be coded independently, so a single source paper can anchor two analytically distinct framings without collapsing into a duplicate report. The 36-case registry is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w:t>
      </w:r>
    </w:p>
    <w:p>
      <w:r>
        <w:t xml:space="preserve">The seed pool was assembled from targeted searches of methodological venues plus forward and backward citation from four anchor papers (Törnberg, 2025; Keith, 2026; Larson, 2024; Kang, 2025), supplemented with preprint-server queries for autonomy-heavy systems not yet peer-reviewed. The 36 cases partition under C1–C3 as follows. Thirty-three cases pass all three criteria cleanly. Two cases (11 and 12) pass with a disclosed C3 exception: both draw on Qian and Wen (2026) [arxiv 2601.15485] but code analytically distinct aspects (ideation step vs. downstream funding-evaluation pipeline) with materially different role-cell coverage (4 vs. 9 populated cells), and were coded independently. One case (36) is a proposed pedagogical configuration that uses Chen and Hu (2025) [arxiv 2504.01167] as a methodological precedent — under C2's design-time-projection carve-out, Case 36 is held back from the v1.0 base and pre-registered as a v1.1 hold-out entry. The v1.0 inferential base is therefore 35 cases (595 codings); the released </w:t>
      </w:r>
      <w:r>
        <w:rPr>
          <w:rFonts w:ascii="Consolas" w:hAnsi="Consolas"/>
          <w:sz w:val="21"/>
        </w:rPr>
        <w:t>exclusions_and_limits.csv</w:t>
      </w:r>
      <w:r>
        <w:t xml:space="preserve"> records the v1.1 carve-out and the dropped-case list explicitly.</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35 cases × 17 roles in the v1.0' inferential base,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 Table 1 lists the eight starting roles alongside the six split-candidate roles produced by the v0.2 split decompositions: </w:t>
      </w:r>
      <w:r>
        <w:rPr>
          <w:i/>
        </w:rPr>
        <w:t>construct and perspective boundary setter</w:t>
      </w:r>
      <w:r>
        <w:t xml:space="preserve"> decomposes into </w:t>
      </w:r>
      <w:r>
        <w:rPr>
          <w:i/>
        </w:rPr>
        <w:t>construct boundary setter</w:t>
      </w:r>
      <w:r>
        <w:t xml:space="preserve"> and </w:t>
      </w:r>
      <w:r>
        <w:rPr>
          <w:i/>
        </w:rPr>
        <w:t>perspective sampler</w:t>
      </w:r>
      <w:r>
        <w:t xml:space="preserve"> (Case 3 trigger; §3.1), </w:t>
      </w:r>
      <w:r>
        <w:rPr>
          <w:i/>
        </w:rPr>
        <w:t>counterfactual and transportability judge</w:t>
      </w:r>
      <w:r>
        <w:t xml:space="preserve"> decomposes into </w:t>
      </w:r>
      <w:r>
        <w:rPr>
          <w:i/>
        </w:rPr>
        <w:t>counterfactual / transportability judge</w:t>
      </w:r>
      <w:r>
        <w:t xml:space="preserve"> and </w:t>
      </w:r>
      <w:r>
        <w:rPr>
          <w:i/>
        </w:rPr>
        <w:t>calibration architect</w:t>
      </w:r>
      <w:r>
        <w:t xml:space="preserve">, and </w:t>
      </w:r>
      <w:r>
        <w:rPr>
          <w:i/>
        </w:rPr>
        <w:t>situated interlocutor / context witness</w:t>
      </w:r>
      <w:r>
        <w:t xml:space="preserve"> decomposes into </w:t>
      </w:r>
      <w:r>
        <w:rPr>
          <w:i/>
        </w:rPr>
        <w:t>situated interlocutor</w:t>
      </w:r>
      <w:r>
        <w:t xml:space="preserve"> and </w:t>
      </w:r>
      <w:r>
        <w:rPr>
          <w:i/>
        </w:rPr>
        <w:t>context witness</w:t>
      </w:r>
      <w:r>
        <w:t xml:space="preserve">; the apparent near-duplicates are instrument-level decompositions of starting roles, not coding redundancies. We position the rubric as a typology in Doty &amp; Glick's (1994) </w:t>
      </w:r>
      <w:r>
        <w:rPr>
          <w:i/>
        </w:rPr>
        <w:t>theory-building</w:t>
      </w:r>
      <w:r>
        <w:t xml:space="preserve"> sense rather than in their classificatory sense: the six statuses are claimed to specify a substantive structure of role-system change under AI embedding (an allocation continuum crossed with two specification operations), not a sorting convention with arbitrary cell boundaries. The empirical commitment that follows is testable: the six cells should carry differential predictions about role survival, content redefinition, and rubric-revision pressure that a sorting-convention typology would not license. The case-level co-occurrence pattern reported in §3.2 and the family-vs-capability cross-lens contrast in §6.4 are the first such tests.</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Diamantopoulos &amp; Winklhofer, 2001): anchors </w:t>
      </w:r>
      <w:r>
        <w:rPr>
          <w:i/>
        </w:rPr>
        <w:t>constitute</w:t>
      </w:r>
      <w:r>
        <w:t xml:space="preserve"> the status rather than reflect a latent common cause, so the appropriate validity evidence is content-coverage (do the (a)/(b)/(c) indicators jointly span the status's behavioral surface?) and nomological prediction across case families, not internal consistency among indicators. The κ statistic in §6.2 therefore indexes </w:t>
      </w:r>
      <w:r>
        <w:rPr>
          <w:i/>
        </w:rPr>
        <w:t>coder-application reliability</w:t>
      </w:r>
      <w:r>
        <w:t xml:space="preserve"> of a formative classifier rather than indicator-trait consistency of a reflective scale, which is why a κ-failure can coexist with construct validity that the v1.1 within-case extension is designed to test.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t>[Image not found: figure_1_decision_flow.png]</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rPr>
          <w:i/>
        </w:rPr>
        <w:t>Firing rule.</w:t>
      </w:r>
      <w:r>
        <w:t xml:space="preserve"> A status fires for a (role × case) cell when at least one of its (a)/(b)/(c) diagnostic indicators is documented with a quotable sentence from the case file </w:t>
      </w:r>
      <w:r>
        <w:rPr>
          <w:i/>
        </w:rPr>
        <w:t>and</w:t>
      </w:r>
      <w:r>
        <w:t xml:space="preserve"> the status's counter-indicator does not fire on the same cell. When indicators for two statuses both fire on the same cell — the empirically common case being </w:t>
      </w:r>
      <w:r>
        <w:rPr>
          <w:i/>
        </w:rPr>
        <w:t>conditional</w:t>
      </w:r>
      <w:r>
        <w:t xml:space="preserve"> and </w:t>
      </w:r>
      <w:r>
        <w:rPr>
          <w:i/>
        </w:rPr>
        <w:t>transformed</w:t>
      </w:r>
      <w:r>
        <w:t xml:space="preserve"> — the three-part tie-breaker below is applied. When no status's indicator fires </w:t>
      </w:r>
      <w:r>
        <w:rPr>
          <w:i/>
        </w:rPr>
        <w:t>and</w:t>
      </w:r>
      <w:r>
        <w:t xml:space="preserve"> no counter-indicator fires (i.e., the case file is silent on the role's anchors), the cell defaults to </w:t>
      </w:r>
      <w:r>
        <w:rPr>
          <w:i/>
        </w:rPr>
        <w:t>unclear</w:t>
      </w:r>
      <w:r>
        <w:t xml:space="preserve"> rather than to </w:t>
      </w:r>
      <w:r>
        <w:rPr>
          <w:i/>
        </w:rPr>
        <w:t>not_applicable</w:t>
      </w:r>
      <w:r>
        <w:t xml:space="preserve">: silence licenses neither a positive status assignment nor an exclusion from the observable denominator. Cells coded </w:t>
      </w:r>
      <w:r>
        <w:rPr>
          <w:i/>
        </w:rPr>
        <w:t>not_applicable</w:t>
      </w:r>
      <w:r>
        <w:t xml:space="preserve"> additionally require the case to give positive evidence that the role is outside the study's scope (e.g., a single-author commentary has no </w:t>
      </w:r>
      <w:r>
        <w:rPr>
          <w:i/>
        </w:rPr>
        <w:t>labor-allocator</w:t>
      </w:r>
      <w:r>
        <w:t xml:space="preserve"> role-cell to code).</w:t>
      </w:r>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The leadership-categorization framework specifies that category-membership judgments — including a coder's assignment of a (role × case) cell to one of the six statuses — operate by prototype-matching to a cognitive referent rather than by pure rule-application from anchors; the rubric's behavioral anchors then function as supplementary discriminators rather than as the primary categorization device. Two empirical predictions follow. First, a second coder lacking access to the §3.1 prototypes will under-perform most on the statuses whose anchors carry the heaviest transition-coded content — </w:t>
      </w:r>
      <w:r>
        <w:rPr>
          <w:i/>
        </w:rPr>
        <w:t>conditional</w:t>
      </w:r>
      <w:r>
        <w:t xml:space="preserve"> and </w:t>
      </w:r>
      <w:r>
        <w:rPr>
          <w:i/>
        </w:rPr>
        <w:t>transformed</w:t>
      </w:r>
      <w:r>
        <w:t xml:space="preserve"> — where prototype-matching does the most work. Second, the κ failure on those two statuses (§6.2) is diagnostically attributable to prototype-reconstruction failure rather than to anchor under-specification, and the appropriate v1.1 instrument is therefore a calibration session on the §3.1 prototypes rather than further anchor refinement. The per-status κ pattern (</w:t>
      </w:r>
      <w:r>
        <w:rPr>
          <w:i/>
        </w:rPr>
        <w:t>robust</w:t>
      </w:r>
      <w:r>
        <w:t xml:space="preserve"> 0.402, </w:t>
      </w:r>
      <w:r>
        <w:rPr>
          <w:i/>
        </w:rPr>
        <w:t>shrinking</w:t>
      </w:r>
      <w:r>
        <w:t xml:space="preserve"> 0.549, </w:t>
      </w:r>
      <w:r>
        <w:rPr>
          <w:i/>
        </w:rPr>
        <w:t>conditional</w:t>
      </w:r>
      <w:r>
        <w:t xml:space="preserve"> 0.009, </w:t>
      </w:r>
      <w:r>
        <w:rPr>
          <w:i/>
        </w:rPr>
        <w:t>transformed</w:t>
      </w:r>
      <w:r>
        <w:t xml:space="preserve"> 0.000) is consistent with this reading.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carries known risks of cherry-picking and of theoretical-vs-direct-replication confusion (Eisenhardt, 1989, 2021; Flyvbjerg, 2006; Langley, 1999; Welch et al., 2011). We address those risks in three steps. First, we select one exemplar per status from cases the rubric's anchors fire on cleanly. Second, we disclose pilot-origin for the three exemplars that were in the rubric-development pilot (Keith, 2026 / Case 2; Baccolini, 2026 / Case 7; Törnberg, 2025 / Case 1). Third, we hold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Within this 36-case repository, procedure reads as constitutive of the task rather than residual to it; we frame this as a within-repository regularity rather than a population-level claim, with §6.5 binding the claim ceiling and the 2027 hold-out + v1.1 within-case extension as the instruments for asking whether the procedural-cluster signature generalizes beyond the visibility-filtered case set.</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The ex-ante reason these three roles cluster — and not, say, mechanism-discipline or counterfactual-judgment — is that protocol-and-provenance, calibration, and accountability-and-labor allocation are the smallest closed set that jointly discharges </w:t>
      </w:r>
      <w:r>
        <w:rPr>
          <w:i/>
        </w:rPr>
        <w:t>procedural</w:t>
      </w:r>
      <w:r>
        <w:t xml:space="preserve"> validity in the Cronbach-Meehl-Messick sense (Cronbach &amp; Meehl, 1955; Messick, 1995): admissible procedure (what counts as evidence and how it was assembled), calibration of inference (how outputs are evaluated against defensible benchmarks), and accountable sign-off (who carries responsibility for the inference). This triple is distinct from the </w:t>
      </w:r>
      <w:r>
        <w:rPr>
          <w:i/>
        </w:rPr>
        <w:t>substantive</w:t>
      </w:r>
      <w:r>
        <w:t xml:space="preserve">-validity cluster — boundary-setting, mechanism-discipline, counterfactual-judgment — which the rubric registers separately and which carries a different status profile (more conditional, less robust). The H1 prediction is therefore the sharper claim that the procedural-validity closure cluster is the role-set whose substitution would degrade the </w:t>
      </w:r>
      <w:r>
        <w:rPr>
          <w:i/>
        </w:rPr>
        <w:t>admissibility</w:t>
      </w:r>
      <w:r>
        <w:t xml:space="preserve"> of an inference rather than its </w:t>
      </w:r>
      <w:r>
        <w:rPr>
          <w:i/>
        </w:rPr>
        <w:t>content</w:t>
      </w:r>
      <w:r>
        <w:t xml:space="preserve">, and is therefore the cluster the visibility filter (publishable workflows) selects on most strongly. The principal counter-explanation is </w:t>
      </w:r>
      <w:r>
        <w:rPr>
          <w:i/>
        </w:rPr>
        <w:t>procedural-prose density</w:t>
      </w:r>
      <w:r>
        <w:t xml:space="preserve">: case texts that devote more words to procedure, calibration, and accountability mechanically supply more anchor-firing sentences for those three roles than for substantive-validity roles, so the procedural triple may register higher robust counts not because the underlying role-system is more durable but because the </w:t>
      </w:r>
      <w:r>
        <w:rPr>
          <w:i/>
        </w:rPr>
        <w:t>textual surface</w:t>
      </w:r>
      <w:r>
        <w:t xml:space="preserve"> of procedural work is denser in publishable methods venues (Williams et al., 2010); the v1.1 case-family DIF and within-case transition-coding extension are the appropriate tests of whether the triple co-occurrence survives prose-density adjustment. Once the procedural-validity reading is in place, the three roles also map onto what the HRO literature (Weick &amp; Sutcliffe, 2007) describes as </w:t>
      </w:r>
      <w:r>
        <w:rPr>
          <w:i/>
        </w:rPr>
        <w:t>mindful organizing</w:t>
      </w:r>
      <w:r>
        <w:t xml:space="preserve"> — preoccupation with failure (calibration), reluctance to simplify (provenance), sensitivity to operations (procedure), commitment to resilience and deference to expertise (accountability) — but that mapping is a downstream gloss, not the ex-ante motivation for the triple.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35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0.771, 0.514, and 0.600 across the 35 cases; under marginal independence the expected count of all-three-durable cases is 8.33, and the observed 12 is 1.44× expected. The triple co-occurrence is a real configurational signal, not a sum of marginal coincidences. The lift is descriptive within-sample: it is conditioned on the visibility filter (publishable workflows over-represent durable procedure) and on the procedural-prose density confound discussed above. The durable-status collapse (robust + conditional + transformed) absorbs the per-status disagreement on </w:t>
      </w:r>
      <w:r>
        <w:rPr>
          <w:i/>
        </w:rPr>
        <w:t>conditional</w:t>
      </w:r>
      <w:r>
        <w:t xml:space="preserve"> and </w:t>
      </w:r>
      <w:r>
        <w:rPr>
          <w:i/>
        </w:rPr>
        <w:t>transformed</w:t>
      </w:r>
      <w:r>
        <w:t xml:space="preserve"> that §6 documents, so the 12-of-35 lift survives even when the individual transition-coded anchors do not. The cell-level Monte-Carlo </w:t>
      </w:r>
      <w:r>
        <w:rPr>
          <w:i/>
        </w:rPr>
        <w:t>p</w:t>
      </w:r>
      <w:r>
        <w:t xml:space="preserve"> = 0.0001 supports this configurational reading; the clustering-aware case-level </w:t>
      </w:r>
      <w:r>
        <w:rPr>
          <w:i/>
        </w:rPr>
        <w:t>p</w:t>
      </w:r>
      <w:r>
        <w:t xml:space="preserve"> = 0.34 does not, and §6.5 bounds the H3 claim ceiling accordingly.</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38 shrinking codings concentrated entirely in three throughput-task roles — routine first-pass screener (12 cases), routine coder on high-consensus ground-truth-rich tasks (14 cases), and structural prose polisher (12 cases); the procedural-validity roles of §3 (protocol-and-provenance architect, calibration architect, accountability-and-labor allocator) carry zero shrinking codings, the asymmetry §3 turns on. The shrinking codings appear across 24 of 35 cases — 11 cases carry no shrinking codings at all. What unites the three throughput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i.e., 12 of 14 ground-truth-rich cases exhibit at least one shrinking-task coding, clearing Ragin's (2008) 0.75 sufficiency minimum but below the 0.90 strong-sufficiency threshold — and coverage is 0.500, meaning the ground-truth-rich path captures 12 of the 24 shrinking cases. The 0.500 coverage implies a second equifinal path: 8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~0.833 joint coverage (20 of 24 shrinking cases); we report this as descriptive, not Boolean-minimized.</w:t>
      </w:r>
    </w:p>
    <w:p>
      <w:r>
        <w:t xml:space="preserve">Within the ground-truth-rich path, 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describe research systems built around AI capability from the outset and stress the rubric's separability presupposition. Cases 25 and 26 (Project APE) instantiate the rival reading most directly: in the Faraj-Pachidi (2021) co-constitution register, the role-system and the agentic pipeline are mutually constituted and a snapshot decomposition is a moment in ongoing co-evolution rather than a stable allocation; in the rubric's separability-presupposing register the same evidence reads as transformed accountability allocator + robust protocol architect against a hypothetical pre-AI baseline. Project APE additionally relies on tournament-style evaluation, model ensembles, and internal quality proxies that do not map cleanly onto journal, policy, or public-accountability standards (Project APE, n.d.). Case 32 (The AI Scientist) carries the same rival-reading split but draws most of its evidence from AI or machine-learning research rather than from social science (Ha, n.d.), which weakens the separability-baseline. Case 33 (Deep Research) localizes the rivalry to corpus-pluralist and protocol-and-provenance roles, where the agentic web-research loop and the human source-boundary decision co-determine what counts as evidence. Case 34 (AgentSociety) localizes the rivalry to calibration architect and counterfactual / transportability judge, where simulation calibration and policy transport are co-constituted within the simulation platform itself. The five cells are flagged in the released codings, the autonomy-heavy sensitivity analysis is reported in §6 (Table 4), and the v1.1 within-case transition-coding extension — coding two snapshots per case to recover the transition direction the v1.0 single-snapshot rubric cannot observe (Orlikowski, 2007; Suchman, 2007) — is the appropriate instrument for adjudicating the co-constitution rival reading on these five cases. The rubric is appropriate as a </w:t>
      </w:r>
      <w:r>
        <w:rPr>
          <w:i/>
        </w:rPr>
        <w:t>separability-presupposing</w:t>
      </w:r>
      <w:r>
        <w:t xml:space="preserve"> audit instrument across the 36 cases and we do not claim it adjudicates fully co-constituted research systems;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rPr>
          <w:i/>
        </w:rPr>
        <w:t>Institutional reframing.</w:t>
      </w:r>
      <w:r>
        <w:t xml:space="preserve"> The procedural-validity triple's durability admits an institutional reading (Meyer &amp; Rowan, 1977; DiMaggio &amp; Powell, 1983; Eyal, 2013) under which protocol-and-provenance, calibration, and accountability are durable not because they discharge a substantive inference-licensing function but because methods-journal review, IRB structures, and reviewer expectations exert isomorphic pressure on AI-in-research workflows to </w:t>
      </w:r>
      <w:r>
        <w:rPr>
          <w:i/>
        </w:rPr>
        <w:t>display</w:t>
      </w:r>
      <w:r>
        <w:t xml:space="preserve"> these roles in human form. Eyal's (2013) treatment of expertise (rather than the profession) as the unit of jurisdictional change parallels the rescaling we adopt at §1, so the institutional reading is not orthogonal to the substantive reading — it is the alternative motivation for the same observed pattern. The v1.1 case-family DIF instrument is the appropriate test: legitimacy-driven adoption should produce within-family clustering of procedural-role anchors that the substantive reading does not predict.</w:t>
      </w:r>
    </w:p>
    <w:p>
      <w:r>
        <w:rPr>
          <w:i/>
        </w:rPr>
        <w:t>Evolutionary selection.</w:t>
      </w:r>
      <w:r>
        <w:t xml:space="preserve"> The durable-roles signature also admits an evolutionary-selection reading (Aldrich &amp; Ruef, 2006; Hannan &amp; Freeman, 1977) under which the 12-of-36 triple-durable lift is not evidence about the underlying population of attempted AI-in-research workflows but about the surviving subset: workflows that fail to maintain procedural-validity roles in human form are differentially less likely to clear methods-journal review and reach the published-or-preprinted population the audit samples. The visibility filter named in §2.1 is the channel of that selection. Under this reading the population-level role-system claim is empirically open; the 2027 hold-out and a parallel preprint-only sample are the appropriate selection-correction instruments.</w:t>
      </w:r>
    </w:p>
    <w:p>
      <w:r>
        <w:rPr>
          <w:i/>
        </w:rPr>
        <w:t>Co-constitution scope condition.</w:t>
      </w:r>
      <w:r>
        <w:t xml:space="preserve"> A practice-theoretic reading (Faraj &amp; Pachidi, 2021; Orlikowski, 2007; Suchman, 2007) presses that for the autonomy-heavy boundary cases (25, 26, 32, 33, 34; §5), the role-system and the agentic pipeline are mutually constituted rather than separable, so the rubric's snapshot decomposition codes a moment in ongoing co-evolution rather than a stable allocation. §2.4 declares the ostensive-only scope condition that bounds the rubric to author-stated patterns rather than performative enactment, and §5 engages the rival reading at the case level. Here we name it as the third explicit scope-rival to the headline pattern: the v1.1 within-case transition-coding extension — coding two snapshots per case to recover the transition direction the v1.0 single-snapshot rubric cannot observe — is the appropriate instrument for adjudicating co-constitution against separability on the affected cases.</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in the §2.4 sense — the κ statistic indexes coder-application reliability of a formative classifier, so per-status κ disagreement diagnoses where the formative indicator set under-specifies the status across case families rather than where a reflective scale's indicators fail to load on a common factor: the two failing anchors are </w:t>
      </w:r>
      <w:r>
        <w:rPr>
          <w:i/>
        </w:rPr>
        <w:t>configurationally non-invariant</w:t>
      </w:r>
      <w:r>
        <w:t xml:space="preserve"> across case families in the generalized sense of Vandenberg &amp; Lance (2000) — the behavioral features that anchor </w:t>
      </w:r>
      <w:r>
        <w:rPr>
          <w:i/>
        </w:rPr>
        <w:t>conditional</w:t>
      </w:r>
      <w:r>
        <w:t xml:space="preserve"> and </w:t>
      </w:r>
      <w:r>
        <w:rPr>
          <w:i/>
        </w:rPr>
        <w:t>transformed</w:t>
      </w:r>
      <w:r>
        <w:t xml:space="preserve"> in one case family (e.g., Measurement &amp; coding) differ from those that anchor them in another (e.g., Interviews, fieldwork &amp; qualitative interpretation). Because the rubric is a categorical formative instrument rather than a reflective multi-indicator scale, the v1.1 diagnostic is a differential-item-functioning (DIF) test on the six-status responses across case families paired with a latent-class-invariance check; we adopt "configural-invariance test" as the heuristic label for that combined diagnostic. </w:t>
      </w:r>
      <w:r>
        <w:rPr>
          <w:i/>
        </w:rPr>
        <w:t>Conditional</w:t>
      </w:r>
      <w:r>
        <w:t xml:space="preserve"> and </w:t>
      </w:r>
      <w:r>
        <w:rPr>
          <w:i/>
        </w:rPr>
        <w:t>transformed</w:t>
      </w:r>
      <w:r>
        <w:t xml:space="preserve"> additionally describe role </w:t>
      </w:r>
      <w:r>
        <w:rPr>
          <w:i/>
        </w:rPr>
        <w:t>transitions</w:t>
      </w:r>
      <w:r>
        <w:t xml:space="preserve"> whose observable features differ across families (Ramarajan, 2014), which the DIF and latent-class instruments are designed to surface. The structural failure on the </w:t>
      </w:r>
      <w:r>
        <w:rPr>
          <w:i/>
        </w:rPr>
        <w:t>conditional</w:t>
      </w:r>
      <w:r>
        <w:t xml:space="preserve"> and </w:t>
      </w:r>
      <w:r>
        <w:rPr>
          <w:i/>
        </w:rPr>
        <w:t>transformed</w:t>
      </w:r>
      <w:r>
        <w:t xml:space="preserve"> anchors is itself diagnostic of where the field needs new calibration-session protocols and longitudinal transition coding for AI-embedded role-status assessment; we treat this rubric and its κ as the v1.0 baseline for future development.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(86 of 595 rows in the v1.0' base) — reassigning all 86 to </w:t>
      </w:r>
      <w:r>
        <w:rPr>
          <w:i/>
        </w:rPr>
        <w:t>robust</w:t>
      </w:r>
      <w:r>
        <w:t xml:space="preserve"> (extreme A) or to </w:t>
      </w:r>
      <w:r>
        <w:rPr>
          <w:i/>
        </w:rPr>
        <w:t>transformed</w:t>
      </w:r>
      <w:r>
        <w:t xml:space="preserve"> (extreme B) — preserves the directional H3 verdict under either prior; specific p-values were computed on the prior v1.0 base (sign-test 0.004 / 0.021) and recomputation on v1.0' is a v1.1 robustness commitment alongside the configural-invariance test. Beyond these tie-breaker refinements — which discharge the OSF pre-analysis plan's pre-committed remedy for per-status κ below threshold — the manuscript additionally pre-commits three v1.1 instruments on the six-status responses: (i) a case-family DIF and latent-class-invariance test; (ii) a fully-blind human second-coder pass with cross-coder DIF (≥50 cases per family); and (iii) a within-case transition-coding extension targeting the </w:t>
      </w:r>
      <w:r>
        <w:rPr>
          <w:i/>
        </w:rPr>
        <w:t>conditional</w:t>
      </w:r>
      <w:r>
        <w:t xml:space="preserve"> and </w:t>
      </w:r>
      <w:r>
        <w:rPr>
          <w:i/>
        </w:rPr>
        <w:t>transformed</w:t>
      </w:r>
      <w:r>
        <w:t xml:space="preserve"> anchors. The same three-instrument set is referenced in the abstract.</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31 cases yields 11 positive differences out of 15 defined roles (one role drops because its </w:t>
      </w:r>
      <w:r>
        <w:rPr>
          <w:i/>
        </w:rPr>
        <w:t>V</w:t>
      </w:r>
      <w:r>
        <w:t xml:space="preserve"> is undefined on the 31-case subset; two-sided binomial </w:t>
      </w:r>
      <w:r>
        <w:rPr>
          <w:i/>
        </w:rPr>
        <w:t>p</w:t>
      </w:r>
      <w:r>
        <w:t xml:space="preserve"> = 0.118), </w:t>
      </w:r>
      <w:r>
        <w:rPr>
          <w:i/>
        </w:rPr>
        <w:t>V</w:t>
      </w:r>
      <w:r>
        <w:t xml:space="preserve">_family = 0.279, </w:t>
      </w:r>
      <w:r>
        <w:rPr>
          <w:i/>
        </w:rPr>
        <w:t>V</w:t>
      </w:r>
      <w:r>
        <w:t xml:space="preserve">_capability = 0.209, and </w:t>
      </w:r>
      <w:r>
        <w:rPr>
          <w:i/>
        </w:rPr>
        <w:t>V</w:t>
      </w:r>
      <w:r>
        <w:t xml:space="preserve"> gap = +0.070 — direction consistent with the full v1.0' sample, but the sign-test on the smaller subsample falls further from significance, mirroring the pattern §6.4 reports. The pilot cases contribute to specific role counts (e.g., removing Törnberg drops the routine-coder shrinking count from 15 to 13) but the directional H3 pattern survives. A confidence-stratified robustness check restricting to the 198 high-confidence role-coding rows in the v1.0' base (excluding medium- and low-confidence codings) yields </w:t>
      </w:r>
      <w:r>
        <w:rPr>
          <w:i/>
        </w:rPr>
        <w:t>V</w:t>
      </w:r>
      <w:r>
        <w:t>_family = 0.292, within rounding of the headline 0.286 on all 595 v1.0' cells; the cross-lens direction (family &gt; capability) is preserved on the high-confidence subsample, so the H3 cell-level association is not an artifact of low-confidence rows.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(21 of 38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which on the v1.0' base yields 12 of 16 positive differences and a two-sided </w:t>
      </w:r>
      <w:r>
        <w:rPr>
          <w:i/>
        </w:rPr>
        <w:t>p</w:t>
      </w:r>
      <w:r>
        <w:t xml:space="preserve"> = 0.077 — short of the conventional 0.05 threshold; the paired Wilcoxon signed-rank on the same 16 differences yields </w:t>
      </w:r>
      <w:r>
        <w:rPr>
          <w:i/>
        </w:rPr>
        <w:t>W</w:t>
      </w:r>
      <w:r>
        <w:t xml:space="preserve"> = 20, </w:t>
      </w:r>
      <w:r>
        <w:rPr>
          <w:i/>
        </w:rPr>
        <w:t>p</w:t>
      </w:r>
      <w:r>
        <w:t xml:space="preserve"> = 0.011, retaining significance under the more powerful magnitude-using test. χ² on status × case-family is 100.68 (df=35, </w:t>
      </w:r>
      <w:r>
        <w:rPr>
          <w:i/>
        </w:rPr>
        <w:t>p</w:t>
      </w:r>
      <w:r>
        <w:t xml:space="preserve"> &lt; 10⁻⁵, V = 0.286); on status × AI capability, χ² = 34.70 (df=10, </w:t>
      </w:r>
      <w:r>
        <w:rPr>
          <w:i/>
        </w:rPr>
        <w:t>p</w:t>
      </w:r>
      <w:r>
        <w:t xml:space="preserve"> &lt; 10⁻³, V = 0.266).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595 role-coding cells as the units of randomization and yields </w:t>
      </w:r>
      <w:r>
        <w:rPr>
          <w:i/>
        </w:rPr>
        <w:t>p</w:t>
      </w:r>
      <w:r>
        <w:t xml:space="preserve"> = 0.0001 for case family and </w:t>
      </w:r>
      <w:r>
        <w:rPr>
          <w:i/>
        </w:rPr>
        <w:t>p</w:t>
      </w:r>
      <w:r>
        <w:t xml:space="preserve"> = 0.0005 for AI capability — but this null ignores within-case clustering (17 role-rows per case are not independent observations of role status). The </w:t>
      </w:r>
      <w:r>
        <w:rPr>
          <w:i/>
        </w:rPr>
        <w:t>case-level</w:t>
      </w:r>
      <w:r>
        <w:t xml:space="preserve"> Monte-Carlo test re-randomizes the 35 case-family labels under the clustering-aware null and yields </w:t>
      </w:r>
      <w:r>
        <w:rPr>
          <w:i/>
        </w:rPr>
        <w:t>p</w:t>
      </w:r>
      <w:r>
        <w:t xml:space="preserve"> = 0.34 for case family and </w:t>
      </w:r>
      <w:r>
        <w:rPr>
          <w:i/>
        </w:rPr>
        <w:t>p</w:t>
      </w:r>
      <w:r>
        <w:t xml:space="preserve"> = 0.21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35-case sample. We additionally report a </w:t>
      </w:r>
      <w:r>
        <w:rPr>
          <w:i/>
        </w:rPr>
        <w:t>case-cluster bootstrap</w:t>
      </w:r>
      <w:r>
        <w:t xml:space="preserve"> (B = 2,000, seed 20260425, resampling cases with replacement), which yields V_family 95% CI [0.273, 0.450], V_capability 95% CI [0.204, 0.483], and V_gap 95% CI [−0.117, 0.159] with P(gap &gt; 0) = 0.65;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three cell-level Monte-Carlo and Wilcoxon tests significant: (1) cell-level Monte-Carlo on case family (raw </w:t>
      </w:r>
      <w:r>
        <w:rPr>
          <w:i/>
        </w:rPr>
        <w:t>p</w:t>
      </w:r>
      <w:r>
        <w:t xml:space="preserve"> = 0.0001, adj. 0.0006); (2) cell-level Monte-Carlo on AI capability (raw 0.0005, adj. 0.0025); (3) per-role Wilcoxon signed-rank (raw 0.011, adj. 0.044). The pre-committed sign test does not survive Holm correction: (4) per-role paired sign test (raw 0.077, adj. 0.230). Neither case-level Monte-Carlo survives: (5) on AI capability (raw 0.21, adj. 0.41); (6) on case family (raw 0.34, adj. 0.41).</w:t>
      </w:r>
    </w:p>
    <w:p>
      <w:r>
        <w:t xml:space="preserve">H3 is therefore </w:t>
      </w:r>
      <w:r>
        <w:rPr>
          <w:i/>
        </w:rPr>
        <w:t>supported as a cell-level repository pattern, supported on the per-role Wilcoxon signed-rank test, but not significant on the pre-committed two-sided sign test (p = 0.077) and not significant under the clustering-aware case-level null (p = 0.34) at N</w:t>
      </w:r>
      <w:r>
        <w:t xml:space="preserve"> = 35 </w:t>
      </w:r>
      <w:r>
        <w:rPr>
          <w:i/>
        </w:rPr>
        <w:t>cases</w:t>
      </w:r>
      <w:r>
        <w:t xml:space="preserve">. The two lenses return the same direction at the cell level — case family is the stronger associate of role status (V = 0.286 vs. 0.266; V_family &gt; V_capability in 12 of 16 per-role tests) — but the magnitude tests (Wilcoxon, χ² Monte-Carlo) part company with the directional sign test on this sample, and neither sample-size-bounded test (case-level Monte-Carlo, sign test) reaches significance, so the manuscript should not over-claim. The pattern is consistent with Abbott's (1988) prediction that jurisdictional stability follows task structure rather than tool novelty, but the 35-case repository cannot license that theoretical claim at the population level; we do not generalize beyond the sample, and a 2027 extension that increases the case-level </w:t>
      </w:r>
      <w:r>
        <w:rPr>
          <w:i/>
        </w:rPr>
        <w:t>N</w:t>
      </w:r>
      <w:r>
        <w:t xml:space="preserve"> is the appropriate test of the case-level null and of the sign-test sensitivity.</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v1.0' inferential base (35 cases); </w:t>
      </w:r>
      <w:r>
        <w:rPr>
          <w:i/>
        </w:rPr>
        <w:t>excl</w:t>
      </w:r>
      <w:r>
        <w:t xml:space="preserve"> = 30 cases after the five-case exclusion;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14 / 11 / −3</w:t>
            </w:r>
          </w:p>
        </w:tc>
        <w:tc>
          <w:tcPr>
            <w:tcW w:type="dxa" w:w="1440"/>
          </w:tcPr>
          <w:p>
            <w:r/>
            <w:r>
              <w:t>5 / 5 / 0</w:t>
            </w:r>
          </w:p>
        </w:tc>
        <w:tc>
          <w:tcPr>
            <w:tcW w:type="dxa" w:w="1440"/>
          </w:tcPr>
          <w:p>
            <w:r/>
            <w:r>
              <w:t>8 / 7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7 / 5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8 / 7 / −1</w:t>
            </w:r>
          </w:p>
        </w:tc>
        <w:tc>
          <w:tcPr>
            <w:tcW w:type="dxa" w:w="1440"/>
          </w:tcPr>
          <w:p>
            <w:r/>
            <w:r>
              <w:t>0 / 0 / 0</w:t>
            </w:r>
          </w:p>
        </w:tc>
        <w:tc>
          <w:tcPr>
            <w:tcW w:type="dxa" w:w="1440"/>
          </w:tcPr>
          <w:p>
            <w:r/>
            <w:r>
              <w:t>5 / 4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12 / 8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14 / 11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38 shrinking-task-cluster observations and 6 of the procedural-or-calibration </w:t>
      </w:r>
      <w:r>
        <w:rPr>
          <w:i/>
        </w:rPr>
        <w:t>robust</w:t>
      </w:r>
      <w:r>
        <w:t>/</w:t>
      </w:r>
      <w:r>
        <w:rPr>
          <w:i/>
        </w:rPr>
        <w:t>transformed</w:t>
      </w:r>
      <w:r>
        <w:t xml:space="preserve"> counts; dropping them compresses the magnitudes but not the direction. Protocol and provenance architect is still the most durable role by a wide margin (11 robust + 5 conditional + 7 transformed versus any other row). Calibration architect remains predominantly robust-or-conditional (5 robust + 9 conditional). The three shrinking-task clusters are still overwhelmingly shrinking (8, 11, and 8 observations respectively, with no case flipping to robust or transformed). H1 and H2 therefore survive the exclusion; the abstract's aggregate of 38 shrinking observations should be read as the v1.0' base figure, with 27 shrinking observations remaining under the additional five-case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and on the per-role Wilcoxon signed-rank test, but is </w:t>
      </w:r>
      <w:r>
        <w:rPr>
          <w:i/>
        </w:rPr>
        <w:t>not</w:t>
      </w:r>
      <w:r>
        <w:t xml:space="preserve"> significant on the pre-committed two-sided sign test (</w:t>
      </w:r>
      <w:r>
        <w:rPr>
          <w:i/>
        </w:rPr>
        <w:t>p</w:t>
      </w:r>
      <w:r>
        <w:t xml:space="preserve"> = 0.077) or under the clustering-aware case-level null at N = 35 (</w:t>
      </w:r>
      <w:r>
        <w:rPr>
          <w:i/>
        </w:rPr>
        <w:t>p</w:t>
      </w:r>
      <w:r>
        <w:t xml:space="preserve"> = 0.34): case family is the stronger associate of role status at the cell level (aggregate V = 0.286 versus 0.266 for capability; V_family &gt; V_capability in 12 of 16 per-role tests; cell-level Monte-Carlo </w:t>
      </w:r>
      <w:r>
        <w:rPr>
          <w:i/>
        </w:rPr>
        <w:t>p</w:t>
      </w:r>
      <w:r>
        <w:t xml:space="preserve"> = 0.0001 and Wilcoxon </w:t>
      </w:r>
      <w:r>
        <w:rPr>
          <w:i/>
        </w:rPr>
        <w:t>p</w:t>
      </w:r>
      <w:r>
        <w:t xml:space="preserve"> = 0.011 both survive Holm correction) while the sample-size-bounded tests (sign test, case-level Monte-Carlo) do not, so the H3 conclusion is bounded to the cell-level and signed-rank evidence and the case-level test awaits a larger-</w:t>
      </w:r>
      <w:r>
        <w:rPr>
          <w:i/>
        </w:rPr>
        <w:t>N</w:t>
      </w:r>
      <w:r>
        <w:t xml:space="preserve"> extension. What it should not say is that the cell-level lift licenses a population-level claim that case family beats AI capability as the structural determinant of role status: that universal-law reading lies beyond what 35 cases can license under the clustering-aware null, and the 2027 hold-out at </w:t>
      </w:r>
      <w:r>
        <w:rPr>
          <w:i/>
        </w:rPr>
        <w:t>N</w:t>
      </w:r>
      <w:r>
        <w:t xml:space="preserve"> = 60 is the appropriate test of the case-level ceiling and of the sign-test sensitivity.</w:t>
      </w:r>
    </w:p>
    <w:p>
      <w:r>
        <w:t>Framed this way, the audit's claims are within-sample associations at N = 35 (v1.0' base),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v1.0' inferential base (denominator = 595 cells throughout, after holding back Case 36 as a v1.1 design entry).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50 / 595 cells robust (23 of 35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86 / 595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32 / 595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38 / 595 cells shrinking (across 24 of 35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38 / 595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595 cells (both on Case 10)</w:t>
            </w:r>
          </w:p>
        </w:tc>
      </w:tr>
    </w:tbl>
    <w:p/>
    <w:p>
      <w:r>
        <w:t xml:space="preserve">The contribution is the comparative typology audit itself — the worked application of a six-status rubric to 36 source-backed cases of AI in research, fusing a deductive automation-augmentation skeleton with two inductively surfaced specification operations (split and merge pressure) the cases would not let us drop. The audit yields three released artifacts that operationalize the framework for downstream use: (1) the v1.0 rubric — a behaviorally-anchored instrument for coding role-status change at the (role × case) cell level; (2) the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audit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output. We hope this audit serves as a catalyst for instrument-grade comparative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including the 17 v1.1-design rows for Case 36, CC-BY-4.0; the v1.0 inferential base is the 595 rows after </w:t>
      </w:r>
      <w:r>
        <w:rPr>
          <w:rFonts w:ascii="Consolas" w:hAnsi="Consolas"/>
          <w:sz w:val="21"/>
        </w:rPr>
        <w:t>cases_master.analysis_ready == "yes"</w:t>
      </w:r>
      <w:r>
        <w:t xml:space="preserve"> filtering); (2) </w:t>
      </w:r>
      <w:r>
        <w:rPr>
          <w:rFonts w:ascii="Consolas" w:hAnsi="Consolas"/>
          <w:sz w:val="21"/>
        </w:rPr>
        <w:t>cases_master.csv</w:t>
      </w:r>
      <w:r>
        <w:t xml:space="preserve"> (36 cases, CC-BY-4.0; one case flagged </w:t>
      </w:r>
      <w:r>
        <w:rPr>
          <w:rFonts w:ascii="Consolas" w:hAnsi="Consolas"/>
          <w:sz w:val="21"/>
        </w:rPr>
        <w:t>analysis_ready = v1.1_design</w:t>
      </w:r>
      <w:r>
        <w:t xml:space="preserve">); (3) </w:t>
      </w:r>
      <w:r>
        <w:rPr>
          <w:rFonts w:ascii="Consolas" w:hAnsi="Consolas"/>
          <w:sz w:val="21"/>
        </w:rPr>
        <w:t>role_coding_secondcoder_subsample.csv</w:t>
      </w:r>
      <w:r>
        <w:t xml:space="preserve"> (68 rows from Cases 2, 3, 7, 27 — none affected by the v42 audit; Appendix B κ values remain stable); (4) the codebook with a date-stamped version history; (5a) </w:t>
      </w:r>
      <w:r>
        <w:rPr>
          <w:rFonts w:ascii="Consolas" w:hAnsi="Consolas"/>
          <w:sz w:val="21"/>
        </w:rPr>
        <w:t>scripts/section6_analysis.py</w:t>
      </w:r>
      <w:r>
        <w:t xml:space="preserve"> (MIT) reproduces every inferential value in §6 — χ² = 100.68 (family) and 34.70 (capability), Cramér's </w:t>
      </w:r>
      <w:r>
        <w:rPr>
          <w:i/>
        </w:rPr>
        <w:t>V</w:t>
      </w:r>
      <w:r>
        <w:t xml:space="preserve"> = 0.286 (family) and 0.266 (capability), cell-level Monte-Carlo </w:t>
      </w:r>
      <w:r>
        <w:rPr>
          <w:i/>
        </w:rPr>
        <w:t>p</w:t>
      </w:r>
      <w:r>
        <w:t xml:space="preserve"> = 0.0001 / 0.0005 (seeds 20260423 and 20260424), case-level Monte-Carlo </w:t>
      </w:r>
      <w:r>
        <w:rPr>
          <w:i/>
        </w:rPr>
        <w:t>p</w:t>
      </w:r>
      <w:r>
        <w:t xml:space="preserve"> = 0.34 / 0.21 under the clustering-aware null, case-cluster bootstrap </w:t>
      </w:r>
      <w:r>
        <w:rPr>
          <w:i/>
        </w:rPr>
        <w:t>V</w:t>
      </w:r>
      <w:r>
        <w:t xml:space="preserve"> CIs (</w:t>
      </w:r>
      <w:r>
        <w:rPr>
          <w:i/>
        </w:rPr>
        <w:t>B</w:t>
      </w:r>
      <w:r>
        <w:t xml:space="preserve"> = 2,000, seed 20260425), per-role paired Wilcoxon </w:t>
      </w:r>
      <w:r>
        <w:rPr>
          <w:i/>
        </w:rPr>
        <w:t>W</w:t>
      </w:r>
      <w:r>
        <w:t xml:space="preserve"> = 20 / </w:t>
      </w:r>
      <w:r>
        <w:rPr>
          <w:i/>
        </w:rPr>
        <w:t>p</w:t>
      </w:r>
      <w:r>
        <w:t xml:space="preserve"> = 0.011 and the sign-test companion </w:t>
      </w:r>
      <w:r>
        <w:rPr>
          <w:i/>
        </w:rPr>
        <w:t>p</w:t>
      </w:r>
      <w:r>
        <w:t xml:space="preserve"> = 0.077 (12 of 16 positive), </w:t>
      </w:r>
      <w:r>
        <w:rPr>
          <w:i/>
        </w:rPr>
        <w:t>V</w:t>
      </w:r>
      <w:r>
        <w:t xml:space="preserve">_family = 0.292 on the 198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Appendices B (inter-coder reliability), C (application protocol), D (full 17-role sensitivity table), E (coder checklist, instrument-grade), and F (reviewer-audit checklist), all under CC-BY-4.0; Appendix A — the released codebook itself — is held as a versioned artifact at the release tag rather than reproduced inside this manuscript.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Generative AI was used in three explicitly bounded ways under the disclosure standard adopted by ORM in 2025. (a) A sandboxed LLM agent served as the independent second coder for the 68-cell reliability subsample described in §6.2 and Appendix B, with context restricted to the rubric and case files. (b) LLMs were used for prose editing of the manuscript and for structured extraction during database upkeep. (c) No generative AI system proposed or revised role-status assignments in the first-author main coding pass (n = 612 cells), and no AI system is listed as an author. All evidence verification, coding judgments, interpretive claims, and final manuscript text remain subject to human review and approval.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Chen, Y., &amp; Hu, Y. (2025). Predicting field experiments with large language models. </w:t>
      </w:r>
      <w:r>
        <w:rPr>
          <w:i/>
        </w:rPr>
        <w:t>arXiv</w:t>
      </w:r>
      <w:r>
        <w:t xml:space="preserve"> preprint arXiv:2504.01167.</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Diamantopoulos, A., &amp; Winklhofer, H. M. (2001). Index construction with formative indicators: An alternative to scale development. </w:t>
      </w:r>
      <w:r>
        <w:rPr>
          <w:i/>
        </w:rPr>
        <w:t>Journal of Marketing Research</w:t>
      </w:r>
      <w:r>
        <w:t xml:space="preserve">, </w:t>
      </w:r>
      <w:r>
        <w:rPr>
          <w:i/>
        </w:rPr>
        <w:t>38</w:t>
      </w:r>
      <w:r>
        <w:t>(2), 269–277.</w:t>
      </w:r>
    </w:p>
    <w:p>
      <w:r>
        <w:t xml:space="preserve">DiMaggio, P. J., &amp; Powell, W. W. (1983). The iron cage revisited: Institutional isomorphism and collective rationality in organizational fields. </w:t>
      </w:r>
      <w:r>
        <w:rPr>
          <w:i/>
        </w:rPr>
        <w:t>American Sociological Review</w:t>
      </w:r>
      <w:r>
        <w:t xml:space="preserve">, </w:t>
      </w:r>
      <w:r>
        <w:rPr>
          <w:i/>
        </w:rPr>
        <w:t>48</w:t>
      </w:r>
      <w:r>
        <w:t>(2), 147–160.</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Meyer, J. W., &amp; Rowan, B. (1977). Institutionalized organizations: Formal structure as myth and ceremony. </w:t>
      </w:r>
      <w:r>
        <w:rPr>
          <w:i/>
        </w:rPr>
        <w:t>American Journal of Sociology</w:t>
      </w:r>
      <w:r>
        <w:t xml:space="preserve">, </w:t>
      </w:r>
      <w:r>
        <w:rPr>
          <w:i/>
        </w:rPr>
        <w:t>83</w:t>
      </w:r>
      <w:r>
        <w:t>(2), 340–363.</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Qian, Y., &amp; Wen, Z. (2026). The rise of large language models and the direction and impact of US federal research funding. </w:t>
      </w:r>
      <w:r>
        <w:rPr>
          <w:i/>
        </w:rPr>
        <w:t>arXiv</w:t>
      </w:r>
      <w:r>
        <w:t xml:space="preserve"> preprint arXiv:2601.15485.</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