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Cleanly shrinking work, by contrast, is concentrated in three throughput clusters — routine first-pass screening, high-consensus coding on ground-truth-rich tasks (including code-package repair), and structural prose polishing — which together account for 40 shrinking observations. Autonomy-heavy systems such as Project APE and The AI Scientist remain useful boundary-pressure cases but do not license claims that human research roles have broadly disappeared. The paper's claim ceiling is therefore deliberately set at comparative typology audit with a </w:t>
      </w:r>
      <w:r>
        <w:rPr>
          <w:i/>
        </w:rPr>
        <w:t>preliminary</w:t>
      </w:r>
      <w:r>
        <w:t xml:space="preserve"> framework rather than at validated theory of automated science; the "preliminary" label is pre-committed in response to a second-coder κ of 0.289 (below the preregistered 0.60 threshold), with a human second-coder pass recommended as a follow-up.</w:t>
      </w:r>
    </w:p>
    <w:p>
      <w:pPr>
        <w:pStyle w:val="Heading1"/>
      </w:pPr>
      <w:r>
        <w:t>1. Introduction</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Reviewers and editors increasingly face manuscripts whose automation claims straddle the line between shrinkable task clusters (where AI matching human performance is evidence of substitution) and constitutive research roles (where it is not). A shared coding vocabulary for that adjudication does not yet exist. We propose one, report inter-coder agreement on a subsample, and release the case files so the rubric can be contested.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is narrower than Abbott's (1988) division of expert labor, which is occupational, and orthogonal to Strauss's negotiated order, which is interactional.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This framing places the manuscript in conversation with three broader literatures. First, it draws on role-system and jurisdictional thinking about expert labor without assuming that automation is equivalent to wholesale professional substitution (Abbott, 1988). Second, it aligns with computational social-science work that treats model performance as inseparable from research design and measurement discipline (Grimmer, 2021). Third, it complements human-AI interaction and human-centered AI work by moving the level of analysis from interface guidance to research-role architecture, control points, and accountability allocation (Amershi, 2019; Shneiderman, 2022).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 xml:space="preserve">The claims in §§3–6 operate at four units of analysis and we flag the unit at each claim site. </w:t>
      </w:r>
      <w:r>
        <w:rPr>
          <w:b/>
        </w:rPr>
        <w:t>Cell-level</w:t>
      </w:r>
      <w:r>
        <w:t xml:space="preserve"> claims describe a single (role × case) coding (e.g., "Case 2 Keith's construct-and-perspective boundary setter is robust"). </w:t>
      </w:r>
      <w:r>
        <w:rPr>
          <w:b/>
        </w:rPr>
        <w:t>Role-level</w:t>
      </w:r>
      <w:r>
        <w:t xml:space="preserve"> claims aggregate across cases within one role (e.g., "protocol and provenance architect is robust in 15 cases"). </w:t>
      </w:r>
      <w:r>
        <w:rPr>
          <w:b/>
        </w:rPr>
        <w:t>Case-configuration-level</w:t>
      </w:r>
      <w:r>
        <w:t xml:space="preserve"> claims describe a case's full 17-tuple of role-statuses as a signature (e.g., "12 cases in the repository carry a durable-on-all-three-H1-roles configuration"). </w:t>
      </w:r>
      <w:r>
        <w:rPr>
          <w:b/>
        </w:rPr>
        <w:t>Pattern-level</w:t>
      </w:r>
      <w:r>
        <w:t xml:space="preserve"> claims aggregate across roles (e.g., "durable roles cluster around boundary setting, procedure, calibration, provenance, and accountability"). H1 and H2 are pattern-level claims, H3 is a role-level claim tested via a paired sign test across 16 roles, and the case-configuration analysis in §3 is new to this framework. The Monte-Carlo χ² is a cell-level test and is reported with explicit clustering caveats in §6. Cohen's κ is computed at the cell level and therefore warrants cell-level inferential claims about coding reliability but does not by itself warrant role- or pattern-level validity claims.</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 xml:space="preserve">Behavioral indicators (evidence </w:t>
            </w:r>
            <w:r>
              <w:rPr>
                <w:b/>
                <w:i/>
              </w:rPr>
              <w:t>for</w:t>
            </w:r>
            <w:r>
              <w:rPr>
                <w:b/>
              </w:rPr>
              <w:t>)</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Three of the six exemplars (Keith, 2026 / Case 2; Baccolini, 2026 / Case 7; Tornberg, 2025 / Case 1) were in the four-case pilot used to refine the rubric's anchors (§2). Their exemplar-status labels in this section were assigned after the rubric was finalized and were held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(both are boundary cases). The case-configuration evidence therefore goes further than the marginal role counts: the durable-roles claim is not a coincidence of separate marginal distributions, it is a recurrent case-level signature.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w:t>
      </w:r>
      <w:r>
        <w:rPr>
          <w:i/>
        </w:rPr>
        <w:t>Deskilling</w:t>
      </w:r>
      <w:r>
        <w:t xml:space="preserve"> — the role's content is simplified and the skill demand on the human contracts — fits the Bleier (n.d.) reproducibility-repair pattern, where residual human work is triage rather than diagnosis. </w:t>
      </w:r>
      <w:r>
        <w:rPr>
          <w:i/>
        </w:rPr>
        <w:t>Delegation</w:t>
      </w:r>
      <w:r>
        <w:t xml:space="preserve"> — the task is reassigned to a non-human performer with humans retained for exception handling — fits the Tornberg (2025) objective-coding pattern. </w:t>
      </w:r>
      <w:r>
        <w:rPr>
          <w:i/>
        </w:rPr>
        <w:t>Boundary redefinition</w:t>
      </w:r>
      <w:r>
        <w:t xml:space="preserve"> — the task cluster is excised from the human role altogether and the role itself narrows —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 xml:space="preserve">The five boundary cases (25 and 26 Project APE, 32 The AI Scientist, 33 Deep Research, 34 AgentSociety) pose a rubric-design question the main text must address: the rubric's </w:t>
      </w:r>
      <w:r>
        <w:rPr>
          <w:i/>
        </w:rPr>
        <w:t>transformed</w:t>
      </w:r>
      <w:r>
        <w:t xml:space="preserve"> anchor requires before/after language, and the </w:t>
      </w:r>
      <w:r>
        <w:rPr>
          <w:i/>
        </w:rPr>
        <w:t>shrinking</w:t>
      </w:r>
      <w:r>
        <w:t xml:space="preserve"> anchor compares residual human work against a prior human performance level. Systems built around AI capability from the outset — without a pre-AI counterpart — do not have either a before or a prior level in the same sense. We code these cases against a </w:t>
      </w:r>
      <w:r>
        <w:rPr>
          <w:i/>
        </w:rPr>
        <w:t>hypothetical pre-AI decomposition</w:t>
      </w:r>
      <w:r>
        <w:t xml:space="preserve"> of the research activity (what the equivalent activity would require of humans in a non-autonomous analogue) and tag the resulting cells in the released database with an </w:t>
      </w:r>
      <w:r>
        <w:rPr>
          <w:rFonts w:ascii="Consolas" w:hAnsi="Consolas"/>
          <w:sz w:val="21"/>
        </w:rPr>
        <w:t>edge_case=no_pre_AI_counterpart</w:t>
      </w:r>
      <w:r>
        <w:t xml:space="preserve"> flag. The sensitivity analysis in Table 4 excludes all five cases jointly; the release also reports a stricter-sensitivity variant excluding only the </w:t>
      </w:r>
      <w:r>
        <w:rPr>
          <w:rFonts w:ascii="Consolas" w:hAnsi="Consolas"/>
          <w:sz w:val="21"/>
        </w:rPr>
        <w:t>no_pre_AI_counterpart</w:t>
      </w:r>
      <w:r>
        <w:t xml:space="preserve">-flagged </w:t>
      </w:r>
      <w:r>
        <w:rPr>
          <w:i/>
        </w:rPr>
        <w:t>cells</w:t>
      </w:r>
      <w:r>
        <w:t xml:space="preserve"> within those cases (roughly 60 of their 85 observable rows), which leaves the shrinking and durable-role counts closer to the full-sample pattern. Neither the paper's H1–H3 claims nor the exemplar selection depends on these cases.</w:t>
      </w:r>
    </w:p>
    <w:p>
      <w:r>
        <w:t>Boundary cases need even more caution. Project APE and The AI Scientist are useful because they concentrate the strongest current automation ambitions into visible systems. Yet their evidentiary role is bounded. Project APE relies on tournament-style evaluation, model ensembles, and internal quality proxies that do not straightforwardly map onto journal, policy, or public-accountability standards (Project APE, n.d.). The AI Scientist is more distant still: it is a boundary case in which much of the evidence comes from AI or machine-learning research rather than from social science proper (Ha, n.d.). These systems matter, but they matter as stress tests for the role system, not as settled proof that constitutive human roles have disappeared.</w:t>
      </w:r>
    </w:p>
    <w:p>
      <w:pPr>
        <w:pStyle w:val="Heading1"/>
      </w:pPr>
      <w:r>
        <w:t>Data and Code Availability</w:t>
      </w:r>
    </w:p>
    <w:p>
      <w:r>
        <w:t xml:space="preserve">All artifacts supporting this paper are archived at [repository URL to be finalized before submission] under release tag </w:t>
      </w:r>
      <w:r>
        <w:rPr>
          <w:rFonts w:ascii="Consolas" w:hAnsi="Consolas"/>
          <w:sz w:val="21"/>
        </w:rPr>
        <w:t>v1.0.0-ORM-submission</w:t>
      </w:r>
      <w:r>
        <w:t xml:space="preserve">,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The first author conducted all role-status coding. The second-coder protocol for Appendix B (four cases, 68 cells, stratified across the four largest case-family clusters) is to be preregistered on OSF before the second coder begins work; the OSF URL and ISO timestamp will be inserted here at resubmission. If the OSF registration does not predate the second-coder pass, the Appendix B κ will be labeled as a pre-analysis plan rather than as preregistration.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rPr>
          <w:b/>
        </w:rPr>
        <w:t>Pre-specification table.</w:t>
      </w:r>
      <w:r>
        <w:t xml:space="preserve"> The following table states, for each load-bearing design decision, whether it was fixed before the main coding pass or revised afterward.</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456"/>
          </w:tcPr>
          <w:p>
            <w:r>
              <w:rPr>
                <w:b/>
              </w:rPr>
            </w:r>
            <w:r>
              <w:rPr>
                <w:b/>
              </w:rPr>
              <w:t>Design decision</w:t>
            </w:r>
          </w:p>
        </w:tc>
        <w:tc>
          <w:tcPr>
            <w:tcW w:type="dxa" w:w="2592"/>
          </w:tcPr>
          <w:p>
            <w:r>
              <w:rPr>
                <w:b/>
              </w:rPr>
            </w:r>
            <w:r>
              <w:rPr>
                <w:b/>
              </w:rPr>
              <w:t>Status</w:t>
            </w:r>
          </w:p>
        </w:tc>
        <w:tc>
          <w:tcPr>
            <w:tcW w:type="dxa" w:w="2592"/>
          </w:tcPr>
          <w:p>
            <w:r>
              <w:rPr>
                <w:b/>
              </w:rPr>
            </w:r>
            <w:r>
              <w:rPr>
                <w:b/>
              </w:rPr>
              <w:t>Commitment point</w:t>
            </w:r>
          </w:p>
        </w:tc>
      </w:tr>
      <w:tr>
        <w:tc>
          <w:tcPr>
            <w:tcW w:type="dxa" w:w="3456"/>
          </w:tcPr>
          <w:p>
            <w:r/>
            <w:r>
              <w:t>Case-selection rule (§2)</w:t>
            </w:r>
          </w:p>
        </w:tc>
        <w:tc>
          <w:tcPr>
            <w:tcW w:type="dxa" w:w="2592"/>
          </w:tcPr>
          <w:p>
            <w:r/>
            <w:r>
              <w:t>Fixed pre-coding</w:t>
            </w:r>
          </w:p>
        </w:tc>
        <w:tc>
          <w:tcPr>
            <w:tcW w:type="dxa" w:w="2592"/>
          </w:tcPr>
          <w:p>
            <w:r/>
            <w:r>
              <w:t>Codebook v0.1 before full-pass coding</w:t>
            </w:r>
          </w:p>
        </w:tc>
      </w:tr>
      <w:tr>
        <w:tc>
          <w:tcPr>
            <w:tcW w:type="dxa" w:w="3456"/>
          </w:tcPr>
          <w:p>
            <w:r/>
            <w:r>
              <w:t>Starting typology (8 roles)</w:t>
            </w:r>
          </w:p>
        </w:tc>
        <w:tc>
          <w:tcPr>
            <w:tcW w:type="dxa" w:w="2592"/>
          </w:tcPr>
          <w:p>
            <w:r/>
            <w:r>
              <w:t>Fixed pre-coding</w:t>
            </w:r>
          </w:p>
        </w:tc>
        <w:tc>
          <w:tcPr>
            <w:tcW w:type="dxa" w:w="2592"/>
          </w:tcPr>
          <w:p>
            <w:r/>
            <w:r>
              <w:t>Codebook v0.1</w:t>
            </w:r>
          </w:p>
        </w:tc>
      </w:tr>
      <w:tr>
        <w:tc>
          <w:tcPr>
            <w:tcW w:type="dxa" w:w="3456"/>
          </w:tcPr>
          <w:p>
            <w:r/>
            <w:r>
              <w:t>H1 and H2 wording</w:t>
            </w:r>
          </w:p>
        </w:tc>
        <w:tc>
          <w:tcPr>
            <w:tcW w:type="dxa" w:w="2592"/>
          </w:tcPr>
          <w:p>
            <w:r/>
            <w:r>
              <w:t>Fixed pre-coding</w:t>
            </w:r>
          </w:p>
        </w:tc>
        <w:tc>
          <w:tcPr>
            <w:tcW w:type="dxa" w:w="2592"/>
          </w:tcPr>
          <w:p>
            <w:r/>
            <w:r>
              <w:t>Study design note, pre-pilot</w:t>
            </w:r>
          </w:p>
        </w:tc>
      </w:tr>
      <w:tr>
        <w:tc>
          <w:tcPr>
            <w:tcW w:type="dxa" w:w="3456"/>
          </w:tcPr>
          <w:p>
            <w:r/>
            <w:r>
              <w:t>Rubric anchors (Table 1)</w:t>
            </w:r>
          </w:p>
        </w:tc>
        <w:tc>
          <w:tcPr>
            <w:tcW w:type="dxa" w:w="2592"/>
          </w:tcPr>
          <w:p>
            <w:r/>
            <w:r>
              <w:t>Revised post-pilot</w:t>
            </w:r>
          </w:p>
        </w:tc>
        <w:tc>
          <w:tcPr>
            <w:tcW w:type="dxa" w:w="2592"/>
          </w:tcPr>
          <w:p>
            <w:r/>
            <w:r>
              <w:t>Codebook v0.3 after four-case pilot; frozen thereafter</w:t>
            </w:r>
          </w:p>
        </w:tc>
      </w:tr>
      <w:tr>
        <w:tc>
          <w:tcPr>
            <w:tcW w:type="dxa" w:w="3456"/>
          </w:tcPr>
          <w:p>
            <w:r/>
            <w:r>
              <w:t>Split-pressure and merge-pressure statuses</w:t>
            </w:r>
          </w:p>
        </w:tc>
        <w:tc>
          <w:tcPr>
            <w:tcW w:type="dxa" w:w="2592"/>
          </w:tcPr>
          <w:p>
            <w:r/>
            <w:r>
              <w:t>Added post-pilot</w:t>
            </w:r>
          </w:p>
        </w:tc>
        <w:tc>
          <w:tcPr>
            <w:tcW w:type="dxa" w:w="2592"/>
          </w:tcPr>
          <w:p>
            <w:r/>
            <w:r>
              <w:t>Codebook v0.2 after pilot forced the reconfiguration axis</w:t>
            </w:r>
          </w:p>
        </w:tc>
      </w:tr>
      <w:tr>
        <w:tc>
          <w:tcPr>
            <w:tcW w:type="dxa" w:w="3456"/>
          </w:tcPr>
          <w:p>
            <w:r/>
            <w:r>
              <w:t>Conditional-vs-transformed tie-breaker</w:t>
            </w:r>
          </w:p>
        </w:tc>
        <w:tc>
          <w:tcPr>
            <w:tcW w:type="dxa" w:w="2592"/>
          </w:tcPr>
          <w:p>
            <w:r/>
            <w:r>
              <w:t>Added post-pilot</w:t>
            </w:r>
          </w:p>
        </w:tc>
        <w:tc>
          <w:tcPr>
            <w:tcW w:type="dxa" w:w="2592"/>
          </w:tcPr>
          <w:p>
            <w:r/>
            <w:r>
              <w:t>Codebook v0.3</w:t>
            </w:r>
          </w:p>
        </w:tc>
      </w:tr>
      <w:tr>
        <w:tc>
          <w:tcPr>
            <w:tcW w:type="dxa" w:w="3456"/>
          </w:tcPr>
          <w:p>
            <w:r/>
            <w:r>
              <w:t>H3 (role-level paired test as primary)</w:t>
            </w:r>
          </w:p>
        </w:tc>
        <w:tc>
          <w:tcPr>
            <w:tcW w:type="dxa" w:w="2592"/>
          </w:tcPr>
          <w:p>
            <w:r/>
            <w:r>
              <w:t>Fixed post-pilot, pre-analysis</w:t>
            </w:r>
          </w:p>
        </w:tc>
        <w:tc>
          <w:tcPr>
            <w:tcW w:type="dxa" w:w="2592"/>
          </w:tcPr>
          <w:p>
            <w:r/>
            <w:r>
              <w:t>Analysis plan v0.1 after codebook froze</w:t>
            </w:r>
          </w:p>
        </w:tc>
      </w:tr>
      <w:tr>
        <w:tc>
          <w:tcPr>
            <w:tcW w:type="dxa" w:w="3456"/>
          </w:tcPr>
          <w:p>
            <w:r/>
            <w:r>
              <w:t>Sign test as single confirmatory; Holm for the rest</w:t>
            </w:r>
          </w:p>
        </w:tc>
        <w:tc>
          <w:tcPr>
            <w:tcW w:type="dxa" w:w="2592"/>
          </w:tcPr>
          <w:p>
            <w:r/>
            <w:r>
              <w:t>Fixed pre-analysis</w:t>
            </w:r>
          </w:p>
        </w:tc>
        <w:tc>
          <w:tcPr>
            <w:tcW w:type="dxa" w:w="2592"/>
          </w:tcPr>
          <w:p>
            <w:r/>
            <w:r>
              <w:t>Analysis plan v0.1</w:t>
            </w:r>
          </w:p>
        </w:tc>
      </w:tr>
      <w:tr>
        <w:tc>
          <w:tcPr>
            <w:tcW w:type="dxa" w:w="3456"/>
          </w:tcPr>
          <w:p>
            <w:r/>
            <w:r>
              <w:t>Cohen's κ ≥ 0.60 acceptance threshold</w:t>
            </w:r>
          </w:p>
        </w:tc>
        <w:tc>
          <w:tcPr>
            <w:tcW w:type="dxa" w:w="2592"/>
          </w:tcPr>
          <w:p>
            <w:r/>
            <w:r>
              <w:t>Fixed pre-second-coder</w:t>
            </w:r>
          </w:p>
        </w:tc>
        <w:tc>
          <w:tcPr>
            <w:tcW w:type="dxa" w:w="2592"/>
          </w:tcPr>
          <w:p>
            <w:r/>
            <w:r>
              <w:t>Appendix B preregistration</w:t>
            </w:r>
          </w:p>
        </w:tc>
      </w:tr>
      <w:tr>
        <w:tc>
          <w:tcPr>
            <w:tcW w:type="dxa" w:w="3456"/>
          </w:tcPr>
          <w:p>
            <w:r/>
            <w:r>
              <w:t>204-row high-confidence sensitivity</w:t>
            </w:r>
          </w:p>
        </w:tc>
        <w:tc>
          <w:tcPr>
            <w:tcW w:type="dxa" w:w="2592"/>
          </w:tcPr>
          <w:p>
            <w:r/>
            <w:r>
              <w:t>Post-hoc (exploratory)</w:t>
            </w:r>
          </w:p>
        </w:tc>
        <w:tc>
          <w:tcPr>
            <w:tcW w:type="dxa" w:w="2592"/>
          </w:tcPr>
          <w:p>
            <w:r/>
            <w:r>
              <w:t>Added during revision to address reviewer concern</w:t>
            </w:r>
          </w:p>
        </w:tc>
      </w:tr>
      <w:tr>
        <w:tc>
          <w:tcPr>
            <w:tcW w:type="dxa" w:w="3456"/>
          </w:tcPr>
          <w:p>
            <w:r/>
            <w:r>
              <w:t>Case-level Monte-Carlo permutation</w:t>
            </w:r>
          </w:p>
        </w:tc>
        <w:tc>
          <w:tcPr>
            <w:tcW w:type="dxa" w:w="2592"/>
          </w:tcPr>
          <w:p>
            <w:r/>
            <w:r>
              <w:t>Post-hoc (exploratory)</w:t>
            </w:r>
          </w:p>
        </w:tc>
        <w:tc>
          <w:tcPr>
            <w:tcW w:type="dxa" w:w="2592"/>
          </w:tcPr>
          <w:p>
            <w:r/>
            <w:r>
              <w:t>Added during revision to address reviewer concern</w:t>
            </w:r>
          </w:p>
        </w:tc>
      </w:tr>
      <w:tr>
        <w:tc>
          <w:tcPr>
            <w:tcW w:type="dxa" w:w="3456"/>
          </w:tcPr>
          <w:p>
            <w:r/>
            <w:r>
              <w:t>Pilot hold-out sensitivity (excluding cases 1/2/7/21)</w:t>
            </w:r>
          </w:p>
        </w:tc>
        <w:tc>
          <w:tcPr>
            <w:tcW w:type="dxa" w:w="2592"/>
          </w:tcPr>
          <w:p>
            <w:r/>
            <w:r>
              <w:t>Post-hoc (exploratory)</w:t>
            </w:r>
          </w:p>
        </w:tc>
        <w:tc>
          <w:tcPr>
            <w:tcW w:type="dxa" w:w="2592"/>
          </w:tcPr>
          <w:p>
            <w:r/>
            <w:r>
              <w:t>Added during revision</w:t>
            </w:r>
          </w:p>
        </w:tc>
      </w:tr>
    </w:tbl>
    <w:p/>
    <w:p>
      <w:r>
        <w:t xml:space="preserve">Items labeled </w:t>
      </w:r>
      <w:r>
        <w:rPr>
          <w:i/>
        </w:rPr>
        <w:t>Fixed pre-coding</w:t>
      </w:r>
      <w:r>
        <w:t xml:space="preserve"> or </w:t>
      </w:r>
      <w:r>
        <w:rPr>
          <w:i/>
        </w:rPr>
        <w:t>Fixed pre-analysis</w:t>
      </w:r>
      <w:r>
        <w:t xml:space="preserve"> were committed in the analysis plan before the main coding pass; items labeled </w:t>
      </w:r>
      <w:r>
        <w:rPr>
          <w:i/>
        </w:rPr>
        <w:t>Post-hoc (exploratory)</w:t>
      </w:r>
      <w:r>
        <w:t xml:space="preserve"> were added during revision in response to reviewer requests and are reported as robustness, not as pre-registered confirmatory tests.</w:t>
      </w:r>
    </w:p>
    <w:p>
      <w:pPr>
        <w:pStyle w:val="Heading1"/>
      </w:pPr>
      <w:r>
        <w:t>6. Rival Explanations and Limits</w:t>
      </w:r>
    </w:p>
    <w:p>
      <w:r>
        <w:t>At the aggregate case-clustering-corrected level, the χ² association is null (</w:t>
      </w:r>
      <w:r>
        <w:rPr>
          <w:i/>
        </w:rPr>
        <w:t>p</w:t>
      </w:r>
      <w:r>
        <w:t xml:space="preserve"> = 0.57 for case family, </w:t>
      </w:r>
      <w:r>
        <w:rPr>
          <w:i/>
        </w:rPr>
        <w:t>p</w:t>
      </w:r>
      <w:r>
        <w:t xml:space="preserve"> = 0.31 for AI capability in the case-level permutation test below). The H3 verdict reported here rests entirely on the role-level paired sign test, which survives clustering correction (Wilcoxon </w:t>
      </w:r>
      <w:r>
        <w:rPr>
          <w:i/>
        </w:rPr>
        <w:t>p</w:t>
      </w:r>
      <w:r>
        <w:t xml:space="preserve"> = 0.0006 on 16 roles with defined V; binomial </w:t>
      </w:r>
      <w:r>
        <w:rPr>
          <w:i/>
        </w:rPr>
        <w:t>p</w:t>
      </w:r>
      <w:r>
        <w:t xml:space="preserve"> = 0.004). Readers should weigh this framing: the paper claims a role-level pattern, not an aggregate case-level association.</w:t>
      </w:r>
    </w:p>
    <w:p>
      <w:r>
        <w:t xml:space="preserve">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and is released with an explicit confidence stratification (437 of 612 role rows at high confidence with source-grounded evidence summaries, 165 at medium, 10 at low). To assess coding reliability, an independent second coder re-coded a stratified 10% subsample — four cases spanning the four largest case-family clusters,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the full disagreement log in Appendix B). Per the preregistration, κ failure invokes three pre-committed remedies: (i) the conditional-vs-transformed tie-breaker in Table 1 is revised to require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(ii) the observable-vs-</w:t>
      </w:r>
      <w:r>
        <w:rPr>
          <w:rFonts w:ascii="Consolas" w:hAnsi="Consolas"/>
          <w:sz w:val="21"/>
        </w:rPr>
        <w:t>not_applicable</w:t>
      </w:r>
      <w:r>
        <w:t xml:space="preserve"> threshold is tightened to require at least one quotable sentence of direct evidence in the case file, not inference from adjacent activity; and (iii) the claim ceiling is adjusted from </w:t>
      </w:r>
      <w:r>
        <w:rPr>
          <w:i/>
        </w:rPr>
        <w:t>framework</w:t>
      </w:r>
      <w:r>
        <w:t xml:space="preserve"> to </w:t>
      </w:r>
      <w:r>
        <w:rPr>
          <w:i/>
        </w:rPr>
        <w:t>preliminary framework</w:t>
      </w:r>
      <w:r>
        <w:t xml:space="preserve"> pending a human second-coder pass at acceptance-grade reliability. The rubric, the second-coder CSV, and the disagreement log are released with the database so that any reader can re-run the comparison or extend it to additional cases. Benchmark artificiality remains a live issue in the screening, reproducibility, and autonomy-heavy cases, where clean tasks or internal evaluation frameworks may flatter automation relative to messier live settings.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preregistered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preregistered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formal test sharpens the comparison. Restricting to observable-present statuses (robust, conditional, transformed, shrinking, split-pressure, merge-pressure) and pooling across all 17 roles, a χ² test of independence yields χ² = 87.67 (df = 35, </w:t>
      </w:r>
      <w:r>
        <w:rPr>
          <w:i/>
        </w:rPr>
        <w:t>p</w:t>
      </w:r>
      <w:r>
        <w:t xml:space="preserve"> &lt; 10⁻⁵, Cramér's V = 0.260) for status against case family and χ² = 29.80 (df = 10, </w:t>
      </w:r>
      <w:r>
        <w:rPr>
          <w:i/>
        </w:rPr>
        <w:t>p</w:t>
      </w:r>
      <w:r>
        <w:t xml:space="preserve"> &lt; 10⁻³, Cramér's V = 0.240) for status against AI capability. Both tables have sparse cells: 26 of the 48 status × case-family cells (54%) have expected counts under 5, and 3 of the 18 status × capability cells (17%) do. The 612 role-coding cells are also not independent — the 17 cells within each case share first-author interpretation — so we report three inferential objects rather than one. The asymptotic χ² in Tables 3a–3b treats cells as i.i.d. and is offered for reference only. A </w:t>
      </w:r>
      <w:r>
        <w:rPr>
          <w:i/>
        </w:rPr>
        <w:t>cell-level</w:t>
      </w:r>
      <w:r>
        <w:t xml:space="preserve"> Monte-Carlo test (10,000 permutations of the status label across the 612 cells; seeds 20260423 and 20260424; script released with the database) yields </w:t>
      </w:r>
      <w:r>
        <w:rPr>
          <w:i/>
        </w:rPr>
        <w:t>p</w:t>
      </w:r>
      <w:r>
        <w:t xml:space="preserve"> = 0.0001 for case family and </w:t>
      </w:r>
      <w:r>
        <w:rPr>
          <w:i/>
        </w:rPr>
        <w:t>p</w:t>
      </w:r>
      <w:r>
        <w:t xml:space="preserve"> = 0.0011 for AI capability; this test addresses sparseness but not clustering. A </w:t>
      </w:r>
      <w:r>
        <w:rPr>
          <w:i/>
        </w:rPr>
        <w:t>case-level</w:t>
      </w:r>
      <w:r>
        <w:t xml:space="preserve"> Monte-Carlo test (5,000 permutations of the case-family and case-capability assignments across the 36 cases, preserving the 17-cell-per-case structure; seed 20260423) yields </w:t>
      </w:r>
      <w:r>
        <w:rPr>
          <w:i/>
        </w:rPr>
        <w:t>p</w:t>
      </w:r>
      <w:r>
        <w:t xml:space="preserve"> = 0.57 for case family and </w:t>
      </w:r>
      <w:r>
        <w:rPr>
          <w:i/>
        </w:rPr>
        <w:t>p</w:t>
      </w:r>
      <w:r>
        <w:t xml:space="preserve"> = 0.31 for AI capability; the aggregate χ² association does not survive clustering correction. This is expected at N = 36 cases and does not undermine H3, because H3 is tested at the role level by the paired sign test on per-role V gaps, not at the cell level by the aggregate χ². Using Cohen's (1988) df-adjusted thresholds for Cramér's V (small 0.06, medium 0.17, large 0.29 for </w:t>
      </w:r>
      <w:r>
        <w:rPr>
          <w:i/>
        </w:rPr>
        <w:t>df_min</w:t>
      </w:r>
      <w:r>
        <w:t xml:space="preserve"> = 3), both V values sit in the medium-to-large range. Case-cluster bootstrap 95% confidence intervals (B = 2,000, seed 20260425; resampling 36 cases with replacement) are [0.26, 0.43] for V_family and [0.19, 0.45] for V_capability; the V-gap CI is [−0.10, +0.16] with </w:t>
      </w:r>
      <w:r>
        <w:rPr>
          <w:i/>
        </w:rPr>
        <w:t>P</w:t>
      </w:r>
      <w:r>
        <w:t xml:space="preserve">(gap &gt; 0) = 0.69. The aggregate V difference of 0.020 is therefore not reliably positive at the case-cluster level; the directional evidence that case family is the stronger repository-level associate rests on the per-role paired test.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(Wilcoxon is inapplicable at the role level when V is undefined for any role — here </w:t>
      </w:r>
      <w:r>
        <w:rPr>
          <w:i/>
        </w:rPr>
        <w:t>routine first-pass screener</w:t>
      </w:r>
      <w:r>
        <w:t xml:space="preserve"> has a degenerate sub-table — so the binomial sign test is reported as the primary paired test and Wilcoxon as a consistent-verdict confirmation.) Median V_family = 0.587 and median V_capability = 0.441. Restricting to the 204 high-confidence role-coding rows (confidence = high in the released codebook) yields V_family = 0.267 and V_capability = 0.205, so the V gap widens from 0.020 to 0.062 when coder uncertainty is removed. Multiple-testing exposure: the sign test is the single pre-registered confirmatory test; all other inferential objects (χ²_cell, χ²_case, V confidence intervals, boundary-case Δ table, confidence-stratified V) are robustness checks and do not enter a family-wise adjustment. A Holm correction applied across the six χ² / sign-test </w:t>
      </w:r>
      <w:r>
        <w:rPr>
          <w:i/>
        </w:rPr>
        <w:t>p</w:t>
      </w:r>
      <w:r>
        <w:t>-values leaves the sign-test verdict (</w:t>
      </w:r>
      <w:r>
        <w:rPr>
          <w:i/>
        </w:rPr>
        <w:t>p</w:t>
      </w:r>
      <w:r>
        <w:t xml:space="preserve"> = 0.004) significant. The two lenses return the same verdict. H3 is supported as a repository pattern — that is, within this 36-case sample — by the role-level paired sign test (14 of 16 roles with V_family &gt; V_capability; two-sided </w:t>
      </w:r>
      <w:r>
        <w:rPr>
          <w:i/>
        </w:rPr>
        <w:t>p</w:t>
      </w:r>
      <w:r>
        <w:t xml:space="preserve"> = 0.004). The aggregate V margin of 0.020 is directional-only and is not the load-bearing inference. With capability as a meaningful co-dimension that the typology does not explain away, the repository supports a sign-test-level claim about research kind, not an aggregate-V-level one.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boundary / live-project cases (25 and 26 Project APE, 32 AI Scientist, 33 Deep Research, 34 AgentSociety) barely moves the headline pattern.</w:t>
      </w:r>
    </w:p>
    <w:p>
      <w:r>
        <w:rPr>
          <w:b/>
        </w:rPr>
        <w:t>Table 4. Sensitivity to exclusion of boundary / live-project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boundary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aggregate-of-40 shrinking observations should be read as the full-repository figure, with 29 shrinking observations remaining when boundary cases are excluded.</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quantified above: case family is the stronger associate of role status (aggregate V = 0.260 versus 0.240 for capability; V_family &gt; V_capability in 14 of 17 per-role tests) while capability remains a non-trivial secondary dimension. What it should not say is that the repository proves a universal law of role disappearance. The strongest boundary cases still carry their own cautions inside the evidence base.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 xml:space="preserve">The preliminary framework is built to be used by three audiences (the "preliminary" qualifier follows from the second-coder κ reported in §6 and the unmet commitment to a human second-coder pass). For </w:t>
      </w:r>
      <w:r>
        <w:rPr>
          <w:b/>
        </w:rPr>
        <w:t>methods researchers</w:t>
      </w:r>
      <w:r>
        <w:t xml:space="preserve">, it offers a role-first vocabulary for designing future studies — one that distinguishes </w:t>
      </w:r>
      <w:r>
        <w:rPr>
          <w:i/>
        </w:rPr>
        <w:t>which</w:t>
      </w:r>
      <w:r>
        <w:t xml:space="preserve"> role is changing rather than asking whether "AI" helps overall — and six behaviorally-anchored status categories that can be applied to a new case without opening the underlying database. For </w:t>
      </w:r>
      <w:r>
        <w:rPr>
          <w:b/>
        </w:rPr>
        <w:t>reviewers and editors</w:t>
      </w:r>
      <w:r>
        <w:t xml:space="preserve">, the role × status table and the exemplar index function as an editorial checklist for locating a manuscript's automation claims: shrinkage claims are defensible at the task-cluster layer (routine first-pass screener, routine coder on ground-truth-rich tasks, structural prose polisher), while role-layer disappearance claims require evidence beyond what this repository contains. For </w:t>
      </w:r>
      <w:r>
        <w:rPr>
          <w:b/>
        </w:rPr>
        <w:t>institutional actors</w:t>
      </w:r>
      <w:r>
        <w:t xml:space="preserve"> — PhD training, methods-policy committees, and replication archives — it offers a provisional scaffold for locating where a manuscript's automation claims sit in the role × status space; the repository </w:t>
      </w:r>
      <w:r>
        <w:rPr>
          <w:i/>
        </w:rPr>
        <w:t>suggests</w:t>
      </w:r>
      <w:r>
        <w:t xml:space="preserve"> where curricular, editorial, and provenance investment might be concentrated even as throughput tasks migrate, but the associations reported in §6 are correlational, not causal, and do not license allocation prescriptions on their own. The paired deliverable is therefore not the manuscript alone but the released 36-case database, codebook, and status rubric.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