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Behaviorally-Anchored Rubric for Coding Role-System Change Under AI Embedding: Comparative Typology Audit of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Inter-coder agreement was below the pre-committed κ ≥ 0.60 threshold; v1.1 instruments (configural-invariance test, marker-variable CMV bound, human second-coder pass) are pre-committed. We offer this as a candidate framework with a v1.0 rubric and hope it serves as a catalyst for instrument-grade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et al., 2003; Siddaway et al.,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The seed pool was assembled from targeted searches of methodological venues plus forward and backward citation from four anchor papers (Törnberg, 2025; Keith, 2026; Larson, 2024; Kang, 2025), and supplemented with preprint-server queries for autonomy-heavy systems not yet peer-reviewed. A dropped-case list with exclusion reasons is released alongside the database.</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36 cases × 17 roles,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anchors constitute the status by definition.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et al.,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Törnberg,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Procedure is not residual to the task; it constitutes the task.</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That this signature concentrates on three roles (procedure, calibration, accountability) — rather than dispersing — is the substantive finding the audit licenses. The three durable roles together discharge what the HRO literature (Weick &amp; Sutcliffe, 2007) describes as </w:t>
      </w:r>
      <w:r>
        <w:rPr>
          <w:i/>
        </w:rPr>
        <w:t>mindful organizing</w:t>
      </w:r>
      <w:r>
        <w:t>: preoccupation with failure (calibration), reluctance to simplify (provenance), sensitivity to operations (procedure), commitment to resilience and deference to expertise (accountability).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procedural-prose density (cases that write more about procedure register more procedural-robust codings; Williams et al., 2010).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Shrinkage in this repository has three distinct jurisdictional shapes that are consistent with mechanisms catalogued in the labor-economics literature on automation; the audit codes the realized shape and does not adjudicate among the underlying mechanisms. </w:t>
      </w:r>
      <w:r>
        <w:rPr>
          <w:i/>
        </w:rPr>
        <w:t>Deskilling</w:t>
      </w:r>
      <w:r>
        <w:t xml:space="preserve"> — the role's content is simplified and the skill demand on the human contracts — is consistent with Autor's (2015) routinization-pressure mechanism,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is consistent with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routine first-pass screener as shrinking in 13 cases, routine coder on high-consensus ground-truth-rich tasks in 15, and structural prose polisher in 12 — 40 shrinking observations concentrated in 11 of 36 cases; 25 cases carry zero shrinking codings, the asymmetry §3 turns on. What unites these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clearing Ragin's (2008) 0.75 minimum but below the 0.90 strong-sufficiency threshold — and coverage is 0.500. The 0.500 coverage implies a second equifinal path: 9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~0.875 joint coverage; we report this as descriptive, not Boolean-minimized.</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Split pressure is therefore not a weakness in the typology but a configurational finding: in Furnari et al.'s (2021) vocabulary, split pressure operates as the </w:t>
      </w:r>
      <w:r>
        <w:rPr>
          <w:i/>
        </w:rPr>
        <w:t>scoping</w:t>
      </w:r>
      <w:r>
        <w:t xml:space="preserve"> heuristic and merge pressure as </w:t>
      </w:r>
      <w:r>
        <w:rPr>
          <w:i/>
        </w:rPr>
        <w:t>linking</w:t>
      </w:r>
      <w:r>
        <w:t>.</w:t>
      </w:r>
    </w:p>
    <w:p>
      <w:r>
        <w:t xml:space="preserve">Five cases (25 and 26 Project APE, 32 The AI Scientist, 33 Deep Research, 34 AgentSociety) describe research systems built around AI capability from the outset. The rubric's </w:t>
      </w:r>
      <w:r>
        <w:rPr>
          <w:i/>
        </w:rPr>
        <w:t>transformed</w:t>
      </w:r>
      <w:r>
        <w:t xml:space="preserve"> and </w:t>
      </w:r>
      <w:r>
        <w:rPr>
          <w:i/>
        </w:rPr>
        <w:t>shrinking</w:t>
      </w:r>
      <w:r>
        <w:t xml:space="preserve"> anchors are coded against a hypothetical pre-AI decomposition; the affected cells are tagged and a sensitivity analysis excluding these cases is reported in §6 (Table 4). For research configurations that were never assembled in a pre-AI form, the rubric codes a counterfactual decomposition rather than an observed transition (Orlikowski, 2007; Suchman, 2007); the rubric is appropriate as a </w:t>
      </w:r>
      <w:r>
        <w:rPr>
          <w:i/>
        </w:rPr>
        <w:t>separability-presupposing</w:t>
      </w:r>
      <w:r>
        <w:t xml:space="preserve"> audit instrument across the 36 cases and we do not claim it adjudicates fully co-constituted research systems.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The v1.1 pre-analysis plan filed at OSF commits a CFA marker-variable test, a configural-invariance test with two human coders and ≥50 cases per family, and strengthened 1st-order quotation discipline.</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32 cases yields 13 positive differences out of 15 defined roles (one role drops because its </w:t>
      </w:r>
      <w:r>
        <w:rPr>
          <w:i/>
        </w:rPr>
        <w:t>V</w:t>
      </w:r>
      <w:r>
        <w:t xml:space="preserve"> is undefined on the 32-case subset; two-sided binomial </w:t>
      </w:r>
      <w:r>
        <w:rPr>
          <w:i/>
        </w:rPr>
        <w:t>p</w:t>
      </w:r>
      <w:r>
        <w:t xml:space="preserve"> = 0.007), </w:t>
      </w:r>
      <w:r>
        <w:rPr>
          <w:i/>
        </w:rPr>
        <w:t>V</w:t>
      </w:r>
      <w:r>
        <w:t xml:space="preserve">_family = 0.253, </w:t>
      </w:r>
      <w:r>
        <w:rPr>
          <w:i/>
        </w:rPr>
        <w:t>V</w:t>
      </w:r>
      <w:r>
        <w:t xml:space="preserve">_capability = 0.208, and </w:t>
      </w:r>
      <w:r>
        <w:rPr>
          <w:i/>
        </w:rPr>
        <w:t>V</w:t>
      </w:r>
      <w:r>
        <w:t xml:space="preserve"> gap = +0.045 — all consistent in direction with the full-sample values and still statistically significant. The pilot cases contribute to specific role counts (e.g., removing Törnberg drops the routine-coder shrinking count from 15 to 13) but do not drive the H3 verdict.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i/>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i/>
        </w:rPr>
        <w:t>case-cluster bootstrap</w:t>
      </w:r>
      <w:r>
        <w:t xml:space="preserve"> (B = 2,000, seed 20260425, resampling cases with replacement), which yields V_family 95% CI [0.261, 0.430], V_capability 95% CI [0.193, 0.451], and V_gap 95%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i/>
        </w:rPr>
        <w:t>supported as a cell-level repository pattern but not significant under the clustering-aware case-level null at N</w:t>
      </w:r>
      <w:r>
        <w:t xml:space="preserve"> = 36 </w:t>
      </w:r>
      <w:r>
        <w:rPr>
          <w:i/>
        </w:rPr>
        <w:t>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Three artifacts together constitute the contribution: (1) the v1.0 rubric — a behaviorally-anchored instrument for coding role-status change at the (role × case) cell level; (2) the released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rubric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contribution. We hope the rubric serves as a catalyst for instrument-grade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w:t>
      </w:r>
      <w:r>
        <w:rPr>
          <w:i/>
        </w:rPr>
        <w:t>V</w:t>
      </w:r>
      <w:r>
        <w:t xml:space="preserve">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w:t>
      </w:r>
      <w:r>
        <w:rPr>
          <w:i/>
        </w:rPr>
        <w:t>V</w:t>
      </w:r>
      <w:r>
        <w:t xml:space="preserve"> CIs (</w:t>
      </w:r>
      <w:r>
        <w:rPr>
          <w:i/>
        </w:rPr>
        <w:t>B</w:t>
      </w:r>
      <w:r>
        <w:t xml:space="preserve"> = 2,000, seed 20260425), per-role paired Wilcoxon </w:t>
      </w:r>
      <w:r>
        <w:rPr>
          <w:i/>
        </w:rPr>
        <w:t>W</w:t>
      </w:r>
      <w:r>
        <w:t xml:space="preserve"> = 7 / </w:t>
      </w:r>
      <w:r>
        <w:rPr>
          <w:i/>
        </w:rPr>
        <w:t>p</w:t>
      </w:r>
      <w:r>
        <w:t xml:space="preserve"> = 0.0006 and the sign-test companion </w:t>
      </w:r>
      <w:r>
        <w:rPr>
          <w:i/>
        </w:rPr>
        <w:t>p</w:t>
      </w:r>
      <w:r>
        <w:t xml:space="preserve"> = 0.004, </w:t>
      </w:r>
      <w:r>
        <w:rPr>
          <w:i/>
        </w:rPr>
        <w:t>V</w:t>
      </w:r>
      <w:r>
        <w:t xml:space="preserve">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