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 Cross-family and cross-capability counts are reported descriptively and presuppose, but do not yet test, configural measurement invariance of the rubric's anchors across the eight case families and three AI capabilities (Vandenberg &amp; Lance, 2000); a configural-invariance test is pre-committed to the v1.1 protocol.</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We declare the paper's primary contribution as </w:t>
      </w:r>
      <w:r>
        <w:rPr>
          <w:i/>
        </w:rPr>
        <w:t>methodological</w:t>
      </w:r>
      <w:r>
        <w:t xml:space="preserve"> — a behaviorally-anchored rubric for coding role-status change at the (role × case) cell level — and its secondary contribution as </w:t>
      </w:r>
      <w:r>
        <w:rPr>
          <w:i/>
        </w:rPr>
        <w:t>integrative-theoretical</w:t>
      </w:r>
      <w:r>
        <w:t>: it rescales Abbott's jurisdictional mechanisms from the occupational profession to the activity-level role and operationalizes Furnari et al.'s scoping/linking/naming heuristics as split, merge, and aggregate-axis pressures. We do not claim a stand-alone theoretical contribution in the Whetten (1989) sense, because the underlying mechanism producing the durable-roles pattern is not independently established by the audit.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four v0.1 base statuses were not themselves a priori categories. </w:t>
      </w:r>
      <w:r>
        <w:rPr>
          <w:i/>
        </w:rPr>
        <w:t>Robust</w:t>
      </w:r>
      <w:r>
        <w:t xml:space="preserve"> and </w:t>
      </w:r>
      <w:r>
        <w:rPr>
          <w:i/>
        </w:rPr>
        <w:t>shrinking</w:t>
      </w:r>
      <w:r>
        <w:t xml:space="preserve"> surfaced in the first read-through of Cases 1–2 as the polar anchors the case-text language itself supplied (authors' own "load-bearing" vs. "outperforms human coders" descriptions). </w:t>
      </w:r>
      <w:r>
        <w:rPr>
          <w:i/>
        </w:rPr>
        <w:t>Conditional</w:t>
      </w:r>
      <w:r>
        <w:t xml:space="preserve"> and </w:t>
      </w:r>
      <w:r>
        <w:rPr>
          <w:i/>
        </w:rPr>
        <w:t>transformed</w:t>
      </w:r>
      <w:r>
        <w:t xml:space="preserve"> were the residual codes for cells that fit neither anchor; their content was filled in by constant comparison across the next six cases before v0.1 was frozen, in the grounded-theorizing posture Locke (2007) describes as the dual-thinking-modes tension between rational analytic control and irrational free-play. The pilot then stress-tested anchors that had already taken provisional shape from the data.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Construct form.</w:t>
      </w:r>
      <w:r>
        <w:t xml:space="preserve"> The six statuses constitute a </w:t>
      </w:r>
      <w:r>
        <w:rPr>
          <w:i/>
        </w:rPr>
        <w:t>categorical typology</w:t>
      </w:r>
      <w:r>
        <w:t xml:space="preserve"> in the Doty &amp; Glick (1994) sense: each (role × case) cell is assigned to one of the six kinds, and counts across kinds presuppose that one robust coding is qualitatively the same kind as another robust coding. The "allocation axis" label (robust → conditional → transformed → shrinking) is interpretive scaffolding for the four allocation-related kinds, not an underlying continuum the kinds are degrees on; we adopt this categorical reading as load-bearing for §6's count-based inferences and flag the configurational lift in §3.1 (1.52× durable-on-all-three) as </w:t>
      </w:r>
      <w:r>
        <w:rPr>
          <w:i/>
        </w:rPr>
        <w:t>profile-construct</w:t>
      </w:r>
      <w:r>
        <w:t xml:space="preserve"> evidence (Edwards, 2001) on a derived binary collapse rather than as categorical-typology evidence within the six-status partition. </w:t>
      </w:r>
      <w:r>
        <w:rPr>
          <w:b/>
        </w:rPr>
        <w:t>Construct-measure direction.</w:t>
      </w:r>
      <w:r>
        <w:t xml:space="preserve"> The relationship between Table 1's anchors and the role-status assignment is </w:t>
      </w:r>
      <w:r>
        <w:rPr>
          <w:i/>
        </w:rPr>
        <w:t>formative</w:t>
      </w:r>
      <w:r>
        <w:t xml:space="preserve"> (Edwards &amp; Bagozzi, 2000): the anchors do not reflectively measure a latent role-status that exists prior to coding; they constitute the status by definition. We adopt the formative reading explicitly because Edwards's (2011) critique of formative measurement applies — a formative construct is meaningful only if its indicators jointly span the conceptual content — and we therefore defend completeness of the anchor set in Appendix E rather than treating completeness as assumed. </w:t>
      </w:r>
      <w:r>
        <w:rPr>
          <w:b/>
        </w:rPr>
        <w:t>Mutual exclusivity vs. exhaustiveness.</w:t>
      </w:r>
      <w:r>
        <w:t xml:space="preserve"> The typology is </w:t>
      </w:r>
      <w:r>
        <w:rPr>
          <w:i/>
        </w:rPr>
        <w:t>mutually exclusive within an applicable cell</w:t>
      </w:r>
      <w:r>
        <w:t xml:space="preserve"> but is </w:t>
      </w:r>
      <w:r>
        <w:rPr>
          <w:i/>
        </w:rPr>
        <w:t>not claimed to be exhaustive over all (role × case) cells</w:t>
      </w:r>
      <w:r>
        <w:t xml:space="preserve">: 37 of 612 cells are coded </w:t>
      </w:r>
      <w:r>
        <w:rPr>
          <w:i/>
        </w:rPr>
        <w:t>unclear</w:t>
      </w:r>
      <w:r>
        <w:t xml:space="preserve"> (insufficient evidence to apply any anchor) and 316 are coded </w:t>
      </w:r>
      <w:r>
        <w:rPr>
          <w:i/>
        </w:rPr>
        <w:t>not_applicable</w:t>
      </w:r>
      <w:r>
        <w:t xml:space="preserve"> (the role is not observable in the case file). These residuals are construct-form artifacts of the formative measurement design — they record where the rubric's indicators fail to fire — not a seventh and eighth status. Counts within the six statuses are therefore conditioned on observability and codability, and the V values reported in §6 should be read against the 259-cell observable-and-coded denominator.</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Of these three exclusions, (i) is </w:t>
      </w:r>
      <w:r>
        <w:rPr>
          <w:i/>
        </w:rPr>
        <w:t>theoretically-derived</w:t>
      </w:r>
      <w:r>
        <w:t xml:space="preserve">: the framework requires visible identification of AI involvement to license the </w:t>
      </w:r>
      <w:r>
        <w:rPr>
          <w:i/>
        </w:rPr>
        <w:t>transformed</w:t>
      </w:r>
      <w:r>
        <w:t xml:space="preserve"> anchor's before/after coding, so industry-internal cases are out-of-scope by construction. Exclusions (ii) and (iii) are </w:t>
      </w:r>
      <w:r>
        <w:rPr>
          <w:i/>
        </w:rPr>
        <w:t>empirically-observed</w:t>
      </w:r>
      <w:r>
        <w:t>: the framework does not predict its own failure outside the 2024–2026 window or the eight case families, but the audit cannot license generalization beyond them (Whetten, 1989, on theoretically-derived vs. empirically-observed boundary conditions as differently weighted contributions). The configural-invariance test pre-committed to v1.1 will convert (iii) from an empirical to a theoretical exclusion if it fails.</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A measurement-invariance reading is also worth flagging (Vandenberg &amp; Lance, 2000): the per-status κ of 0.000 on </w:t>
      </w:r>
      <w:r>
        <w:rPr>
          <w:i/>
        </w:rPr>
        <w:t>transformed</w:t>
      </w:r>
      <w:r>
        <w:t xml:space="preserve"> and 0.009 on </w:t>
      </w:r>
      <w:r>
        <w:rPr>
          <w:i/>
        </w:rPr>
        <w:t>conditional</w:t>
      </w:r>
      <w:r>
        <w:t xml:space="preserve"> is the diagnostic signature of </w:t>
      </w:r>
      <w:r>
        <w:rPr>
          <w:i/>
        </w:rPr>
        <w:t>configural-invariance failure</w:t>
      </w:r>
      <w:r>
        <w:t xml:space="preserve"> on those two anchors —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Cross-family comparisons aggregating over these two statuses presuppose configural invariance the v1.0 rubric has not demonstrated.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 A third reading, complementary rather than alternative, is that the rubric itself participates in constituting role status rather than only describing it (Orlikowski &amp; Scott, 2008): the codebook's choice to individuate eight starting roles, the operationalization of </w:t>
      </w:r>
      <w:r>
        <w:rPr>
          <w:i/>
        </w:rPr>
        <w:t>load-bearing</w:t>
      </w:r>
      <w:r>
        <w:t xml:space="preserve"> as </w:t>
      </w:r>
      <w:r>
        <w:rPr>
          <w:i/>
        </w:rPr>
        <w:t>author-stated load-bearing</w:t>
      </w:r>
      <w:r>
        <w:t xml:space="preserve">, and the use of an LLM-agent second coder all configure what counts as a role, what counts as evidence for a status, and what counts as agreement. The rubric's outputs are intelligible </w:t>
      </w:r>
      <w:r>
        <w:rPr>
          <w:i/>
        </w:rPr>
        <w:t>as outputs of this rubric applied through this coding configuration</w:t>
      </w:r>
      <w:r>
        <w:t>; a different rubric would produce a different role-status landscape on the same cases. We do not regard this as invalidating the audit, but we treat it as a load-bearing scope condition.</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We deliberately do </w:t>
      </w:r>
      <w:r>
        <w:rPr>
          <w:i/>
        </w:rPr>
        <w:t>not</w:t>
      </w:r>
      <w:r>
        <w:t xml:space="preserve"> commit a v1.1 fix for the </w:t>
      </w:r>
      <w:r>
        <w:rPr>
          <w:i/>
        </w:rPr>
        <w:t>conditional</w:t>
      </w:r>
      <w:r>
        <w:t xml:space="preserve"> subtype problem. The 92 cells coded conditional may genuinely fail to admit a clean C-H/C-A split — moderator-gated human performance and AI-default-with-human-rescue may be points on a continuum rather than discrete subtypes — and forcing two annotation buckets onto a continuum would manufacture reliability the underlying construct does not support (Locke, Golden-Biddle, &amp; Feldman, 2008, on the generative role of unresolved doubt in research practice). We leave the conditional category operationally undifferentiated until the next 36 cases tell us whether the subtype distinction is empirically real or a coder's artifact. A planned v1.1 extension will </w:t>
      </w:r>
      <w:r>
        <w:rPr>
          <w:i/>
        </w:rPr>
        <w:t>evaluate</w:t>
      </w:r>
      <w:r>
        <w:t xml:space="preserve"> whether two conditional subtypes (</w:t>
      </w:r>
      <w:r>
        <w:rPr>
          <w:i/>
        </w:rPr>
        <w:t>C-H</w:t>
      </w:r>
      <w:r>
        <w:t xml:space="preserve">: human-default with AI assist; </w:t>
      </w:r>
      <w:r>
        <w:rPr>
          <w:i/>
        </w:rPr>
        <w:t>C-A</w:t>
      </w:r>
      <w:r>
        <w:t>: AI-default with human rescue) are warranted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We pre-commit v1.1 to a configural-invariance test in the Vandenberg-Lance (2000) sense: with two human coders and ≥ 50 cases per family, we will test whether each status anchor fires on equivalent observable features across families (configural), whether the conditional probability of firing given case features is equivalent (metric), and whether intercept-equivalent firing licenses cross-family count comparison (scalar). Failure of configural invariance on a status would block cross-family aggregation on that status; failure of metric or scalar invariance would block effect-size comparison. The pre-analysis plan is to be filed at OSF prior to v1.1 coding. A complementary inductive-rigor reading (Gioia, Corley, &amp; Hamilton, 2013) would expect each 2nd-order anchor in Table 1 to be traceable to 1st-order informant-language quotations for each (role × case) cell; the released </w:t>
      </w:r>
      <w:r>
        <w:rPr>
          <w:rFonts w:ascii="Consolas" w:hAnsi="Consolas"/>
          <w:sz w:val="21"/>
        </w:rPr>
        <w:t>quoted_evidence_sentence</w:t>
      </w:r>
      <w:r>
        <w:t xml:space="preserve"> column in </w:t>
      </w:r>
      <w:r>
        <w:rPr>
          <w:rFonts w:ascii="Consolas" w:hAnsi="Consolas"/>
          <w:sz w:val="21"/>
        </w:rPr>
        <w:t>role_coding_master.csv</w:t>
      </w:r>
      <w:r>
        <w:t xml:space="preserve"> is the audit-trail artifact for that test, and the per-status κ failure on </w:t>
      </w:r>
      <w:r>
        <w:rPr>
          <w:i/>
        </w:rPr>
        <w:t>conditional</w:t>
      </w:r>
      <w:r>
        <w:t xml:space="preserve"> and </w:t>
      </w:r>
      <w:r>
        <w:rPr>
          <w:i/>
        </w:rPr>
        <w:t>transformed</w:t>
      </w:r>
      <w:r>
        <w:t xml:space="preserve"> is consistent with weaker 1st-order anchoring on transition-coded statuses, which a v1.1 protocol that strengthens 1st-order quotation discipline on those two categories is the appropriate next instrument for.</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 xml:space="preserve">Framed this way, the paper's contribution stays appropriately bounded for a methods journal. </w:t>
      </w:r>
      <w:r>
        <w:rPr>
          <w:b/>
        </w:rPr>
        <w:t>What the 36-case audit cannot license.</w:t>
      </w:r>
      <w:r>
        <w:t xml:space="preserve"> Following the small-N inferential discipline of King, Keohane, and Verba (1994), we enumerate the inferences the design rules out. (i) </w:t>
      </w:r>
      <w:r>
        <w:rPr>
          <w:i/>
        </w:rPr>
        <w:t>Population-level effect estimates</w:t>
      </w:r>
      <w:r>
        <w:t xml:space="preserve">: the design has no defined target population, only a visibility-filtered convenience sample; the cross-family V = 0.260 is a within-sample association, not an effect estimate. (ii) </w:t>
      </w:r>
      <w:r>
        <w:rPr>
          <w:i/>
        </w:rPr>
        <w:t>Causal claims about what produces durability or shrinkage</w:t>
      </w:r>
      <w:r>
        <w:t xml:space="preserve">: case family and AI capability are jointly selected by the same visibility filter, so neither can be isolated as a cause of role status; the H3 cell-level cross-lens contrast is a within-sample association at the cell level, not a population-level effect. (iii) </w:t>
      </w:r>
      <w:r>
        <w:rPr>
          <w:i/>
        </w:rPr>
        <w:t>Selection-bias correction</w:t>
      </w:r>
      <w:r>
        <w:t xml:space="preserve">: cases visible enough to enter the database are partly cases where the procedural role was robust enough to produce a publishable workflow, biasing the durable-roles count upward — collapsed-procedure cases plausibly fail to publish and are never coded. The H1 verdict is therefore conditioned on the visibility filter and cannot be extrapolated to the unobserved population of attempted-but-unpublished AI-in-research projects. (iv) </w:t>
      </w:r>
      <w:r>
        <w:rPr>
          <w:i/>
        </w:rPr>
        <w:t>Mechanistic claims about coordination structure</w:t>
      </w:r>
      <w:r>
        <w:t xml:space="preserve">: no within-case coding of who-performs-the-role-cell exists at v1.0; the v1.1 within-case extension is the appropriate instrument. (v) </w:t>
      </w:r>
      <w:r>
        <w:rPr>
          <w:i/>
        </w:rPr>
        <w:t>Prescriptive claims</w:t>
      </w:r>
      <w:r>
        <w:t xml:space="preserve">: the §7 author/reviewer/institution recommendations are </w:t>
      </w:r>
      <w:r>
        <w:rPr>
          <w:i/>
        </w:rPr>
        <w:t>normative</w:t>
      </w:r>
      <w:r>
        <w:t xml:space="preserve"> inferences from the descriptive pattern, not estimates from the coding, and §7 will flag this distinction explicitly. The 2027 hold-out, the v1.1 within-case extension, the configural-invariance test, and a stranger-coder replication are the appropriate next instruments.</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 xml:space="preserve">Tables 5 and 6 are </w:t>
      </w:r>
      <w:r>
        <w:rPr>
          <w:i/>
        </w:rPr>
        <w:t>prescriptive</w:t>
      </w:r>
      <w:r>
        <w:t xml:space="preserve"> recommendations derived by authorial judgment from the descriptive 36-case audit, not direct inferences from the coding (King, Keohane, &amp; Verba, 1994, on the descriptive-vs-prescriptive distinction in small-N inference). The 36-case audit licenses the descriptive claim that durable roles cluster around procedure, calibration, and accountability; it does not license the further claim that any specific authorial practice would have produced or would reproduce that clustering. The implied coordination mechanisms in Table 6 are conjectures consistent with the pattern, not estimated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Golden-Biddle, and Feldman, 2008. Making doubt generative: Rethinking the role of doubt in the research process. *Organization Science*, 19(6), 907–918. [BG093]</w:t>
      </w:r>
    </w:p>
    <w:p>
      <w:pPr>
        <w:pStyle w:val="ListBullet"/>
      </w:pPr>
      <w:r>
        <w:t>Locke, 2007. Rational control and irrational free-play: Dual-thinking modes as necessary tension in grounded theorizing. *Organization Studies*, 28(6), 867–891. [BG094]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