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Comparative Typology of Role-System Change Under AI Embedding: Evidence from 36 Cases</w:t>
      </w:r>
    </w:p>
    <w:p>
      <w:pPr>
        <w:pStyle w:val="Heading1"/>
      </w:pPr>
      <w:r>
        <w:t>Abstract</w:t>
      </w:r>
    </w:p>
    <w:p>
      <w:r>
        <w:t xml:space="preserve">Debate about AI in research is still often framed as a contest between humans and models. That framing is too coarse for the current evidence. We make three contributions. </w:t>
      </w:r>
      <w:r>
        <w:rPr>
          <w:i/>
        </w:rPr>
        <w:t>First</w:t>
      </w:r>
      <w:r>
        <w:t xml:space="preserve">, we recast a source-backed repository of 36 AI-in-research cases as a role-system dataset, with 93 source rows, 144 evidence extracts, and 612 role × case codings traced to local full-text PDFs.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to the 36 cases and report the resulting pattern: three procedural-validity roles (protocol-and-provenance architect, calibration architect, accountability-and-labor allocator) co-occur as a </w:t>
      </w:r>
      <w:r>
        <w:rPr>
          <w:i/>
        </w:rPr>
        <w:t>durable</w:t>
      </w:r>
      <w:r>
        <w:t xml:space="preserve"> configuration in 12 of 36 cases, 1.52× the count expected under marginal independence — the candidate </w:t>
      </w:r>
      <w:r>
        <w:rPr>
          <w:i/>
        </w:rPr>
        <w:t>epistemic-guardian</w:t>
      </w:r>
      <w:r>
        <w:t xml:space="preserve"> signature; three throughput clusters shrink in 40 observations (routine first-pass screening, high-consensus coding on ground-truth-rich tasks, structural prose polishing). H3 is supported as a cell-level association (</w:t>
      </w:r>
      <w:r>
        <w:rPr>
          <w:i/>
        </w:rPr>
        <w:t>p</w:t>
      </w:r>
      <w:r>
        <w:t xml:space="preserve"> = 0.0002) but does not reach significance under the clustering-aware case-level null at </w:t>
      </w:r>
      <w:r>
        <w:rPr>
          <w:i/>
        </w:rPr>
        <w:t>N</w:t>
      </w:r>
      <w:r>
        <w:t xml:space="preserve"> = 36 (</w:t>
      </w:r>
      <w:r>
        <w:rPr>
          <w:i/>
        </w:rPr>
        <w:t>p</w:t>
      </w:r>
      <w:r>
        <w:t xml:space="preserve"> = 0.58). Inter-coder agreement was below the pre-committed κ ≥ 0.60 threshold; v1.1 instruments (configural-invariance test, marker-variable CMV bound, human second-coder pass) are pre-committed. We offer this as a comparative typology audit with a v1.0 rubric — anchored deductively to the automation-augmentation paradox and inductively to the specification operations the cases forced — and hope it serves as a catalyst for further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Before describing the audit, we clarify the rubric's paradigm location. The audit operates within the modernist measurement tradition of organizational research, in the construct-validity lineage. The rubric is constructed under both </w:t>
      </w:r>
      <w:r>
        <w:rPr>
          <w:i/>
        </w:rPr>
        <w:t>deductive</w:t>
      </w:r>
      <w:r>
        <w:t xml:space="preserve"> and </w:t>
      </w:r>
      <w:r>
        <w:rPr>
          <w:i/>
        </w:rPr>
        <w:t>inductive</w:t>
      </w:r>
      <w:r>
        <w:t xml:space="preserve"> forces: the four allocation states (robust → conditional → transformed → shrinking) are deductively anchored to the automation-augmentation paradox literature (Raisch &amp; Krakowski, 2021; Autor, 2015) on how human work is reorganized as machines are embedded in the workflow; the two specification operations (split pressure / merge pressure) emerged inductively through constant comparison across cases that the allocation continuum could not accommodate. The audit further engages the configurational-theorizing, content-analysis, typology-as-theory, organizational-routines (ostensive aspect), and high-reliability-organizing traditions. Adjacent traditions — paradox-theoretic, institutional, practice-theoretic, evolutionary — name rival readings the v1.0 rubric does not adjudicate; §6 identifies them.</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paper does not claim a stand-alone theoretical contribution in the Whetten (1989) sense.</w:t>
      </w:r>
    </w:p>
    <w:p>
      <w:pPr>
        <w:pStyle w:val="Heading1"/>
      </w:pPr>
      <w:r>
        <w:t>2. Data and Design</w:t>
      </w:r>
    </w:p>
    <w:p>
      <w:pPr>
        <w:pStyle w:val="Heading2"/>
      </w:pPr>
      <w:r>
        <w:t>2.1 Sampling and case selection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et al., 2003; Siddaway et al.,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The seed pool was assembled from targeted searches of methodological venues plus forward and backward citation from four anchor papers (Törnberg, 2025; Keith, 2026; Larson, 2024; Kang, 2025), and supplemented with preprint-server queries for autonomy-heavy systems not yet peer-reviewed. A dropped-case list with exclusion reasons is released alongside the database.</w:t>
      </w:r>
    </w:p>
    <w:p>
      <w:r>
        <w:t xml:space="preserve">The seed strategy concentrates on AI-in-research projects that are visibly identified as such — methodological-venue search and forward/backward citation preferentially surface high-visibility cases — and we acknowledge a </w:t>
      </w:r>
      <w:r>
        <w:rPr>
          <w:i/>
        </w:rPr>
        <w:t>visibility-bias</w:t>
      </w:r>
      <w:r>
        <w:t xml:space="preserve"> limitation that operates at the case-selection layer separately from publication bias on individual cases (Bail, 2024).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w:t>
      </w:r>
    </w:p>
    <w:p>
      <w:pPr>
        <w:pStyle w:val="Heading2"/>
      </w:pPr>
      <w:r>
        <w:t>2.2 Database, recording units, and coding logic</w:t>
      </w:r>
    </w:p>
    <w:p>
      <w:r>
        <w:t>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After a full-text review pass, 437 of the 612 role-coding rows are high-confidence, 165 medium-confidence, and 10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This structure creates a comparative frame in which cases can be aligned on role status, evidence strength, research stage, institutional setting, autonomy pressure, task ground truth, and post hoc auditability.</w:t>
      </w:r>
    </w:p>
    <w:p>
      <w:r>
        <w:t xml:space="preserve">Role-status assignment is a form of content analysis (Stemler, 2001; Duriau et al., 2007; Hruschka et al., 2004).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roles may </w:t>
      </w:r>
      <w:r>
        <w:rPr>
          <w:i/>
        </w:rPr>
        <w:t>split</w:t>
      </w:r>
      <w:r>
        <w:t xml:space="preserve"> (calibration becoming a distinct role rather than a subpart of transportability judgment), </w:t>
      </w:r>
      <w:r>
        <w:rPr>
          <w:i/>
        </w:rPr>
        <w:t>merge</w:t>
      </w:r>
      <w:r>
        <w:t xml:space="preserve"> (roles inseparable in practice), or be re-read as </w:t>
      </w:r>
      <w:r>
        <w:rPr>
          <w:i/>
        </w:rPr>
        <w:t>shrinking task-clusters</w:t>
      </w:r>
      <w:r>
        <w:t xml:space="preserve"> where routine throughput dominates the work. The audit's load-bearing tradition is </w:t>
      </w:r>
      <w:r>
        <w:rPr>
          <w:i/>
        </w:rPr>
        <w:t>content analysis in the Krippendorff sense</w:t>
      </w:r>
      <w:r>
        <w:t>, augmented by case-based theorizing (Eisenhardt, 1989) and typology-as-theory-building (Doty &amp; Glick, 1994).</w:t>
      </w:r>
    </w:p>
    <w:p>
      <w:r>
        <w:t xml:space="preserve">This is a typological audit with association statistics, not a Qualitative Comparative Analysis (QCA): at </w:t>
      </w:r>
      <w:r>
        <w:rPr>
          <w:i/>
        </w:rPr>
        <w:t>N</w:t>
      </w:r>
      <w:r>
        <w:t xml:space="preserve"> = 36 cases × 17 roles, truth-table minimization is non-identified, so the consistency and coverage measures in §4 are used descriptively rather than as the inferential engine. 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H1 and H2 are pattern-level claims aggregating across roles; H3 is a role-level claim tested via a paired sign test across 16 roles with defined </w:t>
      </w:r>
      <w:r>
        <w:rPr>
          <w:i/>
        </w:rPr>
        <w:t>V</w:t>
      </w:r>
      <w:r>
        <w:t>. Tables 2 and 3 report aggregate distributions; §6 reports the confirmatory test.</w:t>
      </w:r>
    </w:p>
    <w:p>
      <w:pPr>
        <w:pStyle w:val="Heading2"/>
      </w:pPr>
      <w:r>
        <w:t>2.3 Rubric development (v0.1 → v0.4)</w:t>
      </w:r>
    </w:p>
    <w:p>
      <w:r>
        <w:t>The rubric in Table 1 was developed under both deductive and inductive forces.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et al., 2004), where validity is a property of inferences rather than of the instrument alone.</w:t>
      </w:r>
    </w:p>
    <w:p>
      <w:r>
        <w:rPr>
          <w:i/>
        </w:rPr>
        <w:t>Deductive anchor (allocation continuum).</w:t>
      </w:r>
      <w:r>
        <w:t xml:space="preserve"> The four allocation states — robust → conditional → transformed → shrinking — are deductively anchored to the </w:t>
      </w:r>
      <w:r>
        <w:rPr>
          <w:i/>
        </w:rPr>
        <w:t>automation-augmentation paradox</w:t>
      </w:r>
      <w:r>
        <w:t xml:space="preserve"> literature on how human work is reorganized when machines are embedded in the workflow (Raisch &amp; Krakowski, 2021; Autor, 2015). </w:t>
      </w:r>
      <w:r>
        <w:rPr>
          <w:i/>
        </w:rPr>
        <w:t>Robust</w:t>
      </w:r>
      <w:r>
        <w:t xml:space="preserve"> corresponds to the human-as-sole-performer pole (the augmentation-only end where AI substitution would degrade validity); </w:t>
      </w:r>
      <w:r>
        <w:rPr>
          <w:i/>
        </w:rPr>
        <w:t>conditional</w:t>
      </w:r>
      <w:r>
        <w:t xml:space="preserve"> to moderator-gated mixed performance (the contingent-augmentation middle); </w:t>
      </w:r>
      <w:r>
        <w:rPr>
          <w:i/>
        </w:rPr>
        <w:t>transformed</w:t>
      </w:r>
      <w:r>
        <w:t xml:space="preserve"> to content-redefinition with humans retained at the redefined task (the augmentation-with-content-shift register); and </w:t>
      </w:r>
      <w:r>
        <w:rPr>
          <w:i/>
        </w:rPr>
        <w:t>shrinking</w:t>
      </w:r>
      <w:r>
        <w:t xml:space="preserve"> to substitution with humans as exception-handlers (the automation-leaning pole). The four states are not a priori partitions of the dimension; they are the discrete points along the augmentation–automation continuum at which case-text language consistently changed.</w:t>
      </w:r>
    </w:p>
    <w:p>
      <w:r>
        <w:rPr>
          <w:i/>
        </w:rPr>
        <w:t>Inductive emergence (specification operations).</w:t>
      </w:r>
      <w:r>
        <w:t xml:space="preserve"> The two specification operations — </w:t>
      </w:r>
      <w:r>
        <w:rPr>
          <w:i/>
        </w:rPr>
        <w:t>split pressure</w:t>
      </w:r>
      <w:r>
        <w:t xml:space="preserve"> and </w:t>
      </w:r>
      <w:r>
        <w:rPr>
          <w:i/>
        </w:rPr>
        <w:t>merge pressure</w:t>
      </w:r>
      <w:r>
        <w:t xml:space="preserve"> — emerged from constant comparison across cases that the deductive continuum could not accommodate.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These operations revise the unit of analysis itself rather than the human-AI allocation within a fixed unit, and the typology-as-theory-building tradition treats this revisability as a productive feature (Doty &amp; Glick, 1994; Fiss, 2011; Delbridge &amp; Fiss, 2013; Cornelissen, 2017; Cornelissen et al., 2021). Furnari et al.'s (2021) configurational-theorizing heuristics — </w:t>
      </w:r>
      <w:r>
        <w:rPr>
          <w:i/>
        </w:rPr>
        <w:t>scoping</w:t>
      </w:r>
      <w:r>
        <w:t xml:space="preserve"> and </w:t>
      </w:r>
      <w:r>
        <w:rPr>
          <w:i/>
        </w:rPr>
        <w:t>linking</w:t>
      </w:r>
      <w:r>
        <w:t xml:space="preserve"> — operationalize split and merge pressure respectively at the role-cell level.</w:t>
      </w:r>
    </w:p>
    <w:p>
      <w:r>
        <w:rPr>
          <w:i/>
        </w:rPr>
        <w:t>Operational pragmatics.</w:t>
      </w:r>
      <w:r>
        <w:t xml:space="preserve"> Six is the smallest scheme that lets the four allocation states be coded separately (collapsing them loses the deductively anchored continuum) and lets segmentation and consolidation be coded as distinct specification operations (collapsing them loses the inductively emergent finding). Adding a seventh status (e.g., role </w:t>
      </w:r>
      <w:r>
        <w:rPr>
          <w:i/>
        </w:rPr>
        <w:t>creation</w:t>
      </w:r>
      <w:r>
        <w:t xml:space="preserve"> or </w:t>
      </w:r>
      <w:r>
        <w:rPr>
          <w:i/>
        </w:rPr>
        <w:t>destruction</w:t>
      </w:r>
      <w:r>
        <w:t>) would either duplicate the allocation states or push reliability further down; the existing six already register substantial per-status κ disagreement on transition-coded categories (§6.2).</w:t>
      </w:r>
    </w:p>
    <w:p>
      <w:r>
        <w:rPr>
          <w:i/>
        </w:rPr>
        <w:t>Version history.</w:t>
      </w:r>
      <w:r>
        <w:t xml:space="preserve"> v0.1 carried the four allocation states; v0.2 added </w:t>
      </w:r>
      <w:r>
        <w:rPr>
          <w:i/>
        </w:rPr>
        <w:t>split pressure</w:t>
      </w:r>
      <w:r>
        <w:t xml:space="preserve">; v0.3 added </w:t>
      </w:r>
      <w:r>
        <w:rPr>
          <w:i/>
        </w:rPr>
        <w:t>merge pressure</w:t>
      </w:r>
      <w:r>
        <w:t xml:space="preserve">; v0.4 tightened the conditional-vs-transformed tie-breaker after Appendix B's reliability pass.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 The four-case pilot also served as coder-development: the first coder re-coded Cases 1 and 2 under v0.4 to verify earlier codings remained stable; full-corpus stability is a v1.2 commitment.</w:t>
      </w:r>
    </w:p>
    <w:p>
      <w:pPr>
        <w:pStyle w:val="Heading2"/>
      </w:pPr>
      <w:r>
        <w:t>2.4 Construct form, scope conditions, and edge cases</w:t>
      </w:r>
    </w:p>
    <w:p>
      <w:r>
        <w:t xml:space="preserve">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w:t>
      </w:r>
      <w:r>
        <w:rPr>
          <w:i/>
        </w:rPr>
        <w:t>V</w:t>
      </w:r>
      <w:r>
        <w:t xml:space="preserve"> values in §6 are read against the 259-cell observable-and-coded denominator. The anchor-status relationship is </w:t>
      </w:r>
      <w:r>
        <w:rPr>
          <w:i/>
        </w:rPr>
        <w:t>formative</w:t>
      </w:r>
      <w:r>
        <w:t xml:space="preserve"> (Edwards &amp; Bagozzi, 2000): anchors constitute the status by definition.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 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 The audit codes at the activity-level role, jointly across the individual and team performer level; the v1.1 within-case extension flagged in §6 separates the two. The </w:t>
      </w:r>
      <w:r>
        <w:rPr>
          <w:i/>
        </w:rPr>
        <w:t>transformed</w:t>
      </w:r>
      <w:r>
        <w:t xml:space="preserve"> anchor's before/after language is scope-conditioned to author-stated retrospective verb-swap or new-sub-task language quotable from the case file, not to observed longitudinal transition.</w:t>
      </w:r>
    </w:p>
    <w:p>
      <w:r>
        <w:t xml:space="preserve">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industry-internal or quietly-deployed AI-in-research workflows; pre-2024 cases where the </w:t>
      </w:r>
      <w:r>
        <w:rPr>
          <w:i/>
        </w:rPr>
        <w:t>transformed</w:t>
      </w:r>
      <w:r>
        <w:t xml:space="preserve"> anchor would be coded against an unobserved baseline; substantive subfields outside the eight case-family clusters represented (e.g., bench biology, formal economics); or cross-occupation aggregation, which presupposes occupational invariance the audit has not established (the v1.1 occupational-coding extension is the appropriate instrument). Generalization beyond these scope conditions is empirically open, not assumed.</w:t>
      </w:r>
    </w:p>
    <w:p>
      <w:r>
        <w:t xml:space="preserve">Three edge cases required explicit adjudication rules: (i) </w:t>
      </w:r>
      <w:r>
        <w:rPr>
          <w:i/>
        </w:rPr>
        <w:t>multi-version cases</w:t>
      </w:r>
      <w:r>
        <w:t xml:space="preserve"> — for preprints that later appeared in a peer-reviewed venue (Cases 25, 32, 34), we coded the version on which the empirical evidence is strongest, recording the version selection in the case registry; (ii) </w:t>
      </w:r>
      <w:r>
        <w:rPr>
          <w:i/>
        </w:rPr>
        <w:t>joint-performance cases</w:t>
      </w:r>
      <w:r>
        <w:t xml:space="preserve"> where human and AI co-execute the role without a clean lead performer are coded </w:t>
      </w:r>
      <w:r>
        <w:rPr>
          <w:i/>
        </w:rPr>
        <w:t>conditional</w:t>
      </w:r>
      <w:r>
        <w:t xml:space="preserve"> by default, flagged so a second coder can reopen the decision; (iii) </w:t>
      </w:r>
      <w:r>
        <w:rPr>
          <w:i/>
        </w:rPr>
        <w:t>cases that redefine the role mid-analysis</w:t>
      </w:r>
      <w:r>
        <w:t xml:space="preserve"> (Xiao, n.d., 150-agent multiverse is the clearest instance) are coded on the final role definition used for the paper's inferences. Approximately 28 of the 612 cells are tagged with one of these three edge-case notes in the released database.</w:t>
      </w:r>
    </w:p>
    <w:p>
      <w:pPr>
        <w:pStyle w:val="Heading2"/>
      </w:pPr>
      <w:r>
        <w:t>2.5 Decision flow and rubric</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i/>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i/>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3.1 Exemplars</w:t>
      </w:r>
    </w:p>
    <w:p>
      <w:r>
        <w:t xml:space="preserve">Before turning to the durable-role pattern, we name one exemplar case per status to index the argument. We label these exemplars </w:t>
      </w:r>
      <w:r>
        <w:rPr>
          <w:i/>
        </w:rPr>
        <w:t>prototypes</w:t>
      </w:r>
      <w:r>
        <w:t xml:space="preserve"> in the Lord et al.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i/>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i/>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i/>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i/>
        </w:rPr>
        <w:t>shrinking</w:t>
      </w:r>
      <w:r>
        <w:t xml:space="preserve"> task clusters, Törnberg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i/>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i/>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w:t>
      </w:r>
      <w:r>
        <w:rPr>
          <w:i/>
        </w:rPr>
        <w:t>n</w:t>
      </w:r>
      <w:r>
        <w:t xml:space="preserve"> = 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et al.,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Törnberg,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3.2 The procedural cluster: protocol-and-provenance, calibration, and accountability</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§3.1). Procedure is not residual to the task; it constitutes the task.</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That this signature concentrates on three roles (procedure, calibration, accountability) — rather than dispersing — is the substantive finding the audit licenses. The three durable roles together discharge what the HRO literature (Weick &amp; Sutcliffe, 2007) describes as </w:t>
      </w:r>
      <w:r>
        <w:rPr>
          <w:i/>
        </w:rPr>
        <w:t>mindful organizing</w:t>
      </w:r>
      <w:r>
        <w:t>: preoccupation with failure (calibration), reluctance to simplify (provenance), sensitivity to operations (procedure), commitment to resilience and deference to expertise (accountability).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36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0.750, 0.528, and 0.556 across the 36 cases; under marginal independence the expected count of all-three-durable cases is 7.92, and the observed 12 is 1.52× expected. The triple co-occurrence is a real configurational signal, not a sum of marginal coincidences. The lift is descriptive within-sample: it is conditioned on the visibility filter (publishable workflows over-represent durable procedure) and on procedural-prose density (cases that write more about procedure register more procedural-robust codings; Williams et al., 2010). The durable-status collapse (robust + conditional + transformed) absorbs the per-status disagreement on </w:t>
      </w:r>
      <w:r>
        <w:rPr>
          <w:i/>
        </w:rPr>
        <w:t>conditional</w:t>
      </w:r>
      <w:r>
        <w:t xml:space="preserve"> and </w:t>
      </w:r>
      <w:r>
        <w:rPr>
          <w:i/>
        </w:rPr>
        <w:t>transformed</w:t>
      </w:r>
      <w:r>
        <w:t xml:space="preserve"> that §6 documents, so the 12-of-36 lift survives even when the individual transition-coded anchors do not.</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within-case extension. The 36-case repository codes at the case level and cannot adjudicate whether the lift reflects intrapersonal role-attachment (Ramarajan, 2014), team-composition capacity (Woolley et al., 2010), or coordination-architecture clustering (Puranam et al.,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If §3 traces where human roles consolidate, §4 traces where they contract. The three jurisdictional shapes of shrinkage below are derived from the same automation-augmentation paradox literature (Raisch &amp; Krakowski, 2021; Autor, 2015) that deductively anchors the allocation continuum in §2.3 — the </w:t>
      </w:r>
      <w:r>
        <w:rPr>
          <w:i/>
        </w:rPr>
        <w:t>shrinking</w:t>
      </w:r>
      <w:r>
        <w:t xml:space="preserve"> end of that continuum is where automation predominates over augmentation, and three distinct shrinkage shapes correspond to three distinct automation mechanisms catalogued in the literature. The audit codes the realized shape and does not adjudicate among the underlying mechanisms. </w:t>
      </w:r>
      <w:r>
        <w:rPr>
          <w:i/>
        </w:rPr>
        <w:t>Deskilling</w:t>
      </w:r>
      <w:r>
        <w:t xml:space="preserve"> — the role's content is simplified and the skill demand on the human contracts — corresponds to Autor's (2015) routinization-pressure mechanism within the augmentation register (Raisch &amp; Krakowski, 2021), and fits the Bleier (n.d.) reproducibility-repair pattern. </w:t>
      </w:r>
      <w:r>
        <w:rPr>
          <w:i/>
        </w:rPr>
        <w:t>Delegation</w:t>
      </w:r>
      <w:r>
        <w:t xml:space="preserve"> — the task is reassigned to a non-human performer with humans retained for exception handling — corresponds to the substitution mechanism Frey and Osborne (2017) catalogue across occupational tasks, and fits the Törnberg (2025) objective-coding pattern. </w:t>
      </w:r>
      <w:r>
        <w:rPr>
          <w:i/>
        </w:rPr>
        <w:t>Boundary redefinition</w:t>
      </w:r>
      <w:r>
        <w:t xml:space="preserve"> — the task cluster is excised from the human role altogether and the role narrows — corresponds to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routine first-pass screener as shrinking in 13 cases, routine coder on high-consensus ground-truth-rich tasks in 15, and structural prose polisher in 12 — 40 shrinking observations concentrated in 11 of 36 cases; 25 cases carry zero shrinking codings, the asymmetry §3 turns on. What unites these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clearing Ragin's (2008) 0.75 minimum but below the 0.90 strong-sufficiency threshold — and coverage is 0.500. The 0.500 coverage implies a second equifinal path: 9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~0.875 joint coverage; we report this as descriptive, not Boolean-minimized.</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(Törnberg, 2025). This is a harder case for the "role persists" reading than the surrounding cases, because Törnberg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Törnberg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 xml:space="preserve">The two specification operations — split pressure and merge pressure — emerged inductively from the audit (§2.3) when the deductively anchored allocation continuum could not accommodate the observed pattern. They operationalize Furnari et al.'s (2021) configurational-theorizing heuristics at the role-cell level: split pressure operates as the </w:t>
      </w:r>
      <w:r>
        <w:rPr>
          <w:i/>
        </w:rPr>
        <w:t>scoping</w:t>
      </w:r>
      <w:r>
        <w:t xml:space="preserve"> heuristic (re-determining which sub-activities belong inside a role-cell and which belong outside), and merge pressure operates as </w:t>
      </w:r>
      <w:r>
        <w:rPr>
          <w:i/>
        </w:rPr>
        <w:t>linking</w:t>
      </w:r>
      <w:r>
        <w:t xml:space="preserve"> (recombining two formerly distinct role-cells into a single configurational element). This section reports the cases that forced each operation. 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The split-pressure pattern is therefore not a weakness in the typology but the inductive finding the §2.3 framework is designed to register: it surfaces the </w:t>
      </w:r>
      <w:r>
        <w:rPr>
          <w:i/>
        </w:rPr>
        <w:t>scoping</w:t>
      </w:r>
      <w:r>
        <w:t xml:space="preserve"> operations the audit could not deductively anticipate.</w:t>
      </w:r>
    </w:p>
    <w:p>
      <w:r>
        <w:t xml:space="preserve">Five cases (25 and 26 Project APE, 32 The AI Scientist, 33 Deep Research, 34 AgentSociety) describe research systems built around AI capability from the outset. The rubric's </w:t>
      </w:r>
      <w:r>
        <w:rPr>
          <w:i/>
        </w:rPr>
        <w:t>transformed</w:t>
      </w:r>
      <w:r>
        <w:t xml:space="preserve"> and </w:t>
      </w:r>
      <w:r>
        <w:rPr>
          <w:i/>
        </w:rPr>
        <w:t>shrinking</w:t>
      </w:r>
      <w:r>
        <w:t xml:space="preserve"> anchors are coded against a hypothetical pre-AI decomposition; the affected cells are tagged and a sensitivity analysis excluding these cases is reported in §6 (Table 4). For research configurations that were never assembled in a pre-AI form, the rubric codes a counterfactual decomposition rather than an observed transition (Orlikowski, 2007; Suchman, 2007); the rubric is appropriate as a </w:t>
      </w:r>
      <w:r>
        <w:rPr>
          <w:i/>
        </w:rPr>
        <w:t>separability-presupposing</w:t>
      </w:r>
      <w:r>
        <w:t xml:space="preserve"> audit instrument across the 36 cases and we do not claim it adjudicates fully co-constituted research systems.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6. Rival Explanations and Limits</w:t>
      </w:r>
    </w:p>
    <w:p>
      <w:pPr>
        <w:pStyle w:val="Heading2"/>
      </w:pPr>
      <w:r>
        <w:t>6.1 Rival explanations</w:t>
      </w:r>
    </w:p>
    <w:p>
      <w:r>
        <w:t xml:space="preserve">The repository is strong enough to support a comparative argument, but it is not immune to rival explanations. </w:t>
      </w:r>
      <w:r>
        <w:rPr>
          <w:i/>
        </w:rPr>
        <w:t>Publication bias</w:t>
      </w:r>
      <w:r>
        <w:t xml:space="preserve"> matters: some cases become visible precisely because they are dramatic, novel, or unusually favorable to AI — the standard credibility-crisis concern in management research (Bergh et al., 2017; Ioannidis, 2005).</w:t>
      </w:r>
    </w:p>
    <w:p>
      <w:r>
        <w:rPr>
          <w:i/>
        </w:rPr>
        <w:t>Repository coding bias</w:t>
      </w:r>
      <w:r>
        <w:t xml:space="preserve">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w:t>
      </w:r>
    </w:p>
    <w:p>
      <w:r>
        <w:rPr>
          <w:i/>
        </w:rPr>
        <w:t>Benchmark artificiality</w:t>
      </w:r>
      <w:r>
        <w:t xml:space="preserve">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pPr>
        <w:pStyle w:val="Heading2"/>
      </w:pPr>
      <w:r>
        <w:t>6.2 Inter-coder reliability</w:t>
      </w:r>
    </w:p>
    <w:p>
      <w:r>
        <w:t>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pooled Cohen's κ = 0.289, 95% bootstrap CI [0.147, 0.439] (</w:t>
      </w:r>
      <w:r>
        <w:rPr>
          <w:i/>
        </w:rPr>
        <w:t>B</w:t>
      </w:r>
      <w:r>
        <w:t xml:space="preserve"> = 2,000; seed 20260423); Krippendorff's α on the same data is 0.278 (7-cat) / 0.298 (8-cat). The result fails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 the two failing anchors are configurationally non-invariant across case families (Vandenberg &amp; Lance, 2000), and </w:t>
      </w:r>
      <w:r>
        <w:rPr>
          <w:i/>
        </w:rPr>
        <w:t>conditional</w:t>
      </w:r>
      <w:r>
        <w:t xml:space="preserve"> and </w:t>
      </w:r>
      <w:r>
        <w:rPr>
          <w:i/>
        </w:rPr>
        <w:t>transformed</w:t>
      </w:r>
      <w:r>
        <w:t xml:space="preserve"> describe role </w:t>
      </w:r>
      <w:r>
        <w:rPr>
          <w:i/>
        </w:rPr>
        <w:t>transitions</w:t>
      </w:r>
      <w:r>
        <w:t xml:space="preserve"> whose observable features differ across families (Ramarajan, 2014). The LLM agent's lack of access to the §3.1 case prototypes amplifies the gap on transition-coded statuses; a human second-coder pass with calibration sessions on the §3.1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(92 of 612 rows) — reassigning all 92 to </w:t>
      </w:r>
      <w:r>
        <w:rPr>
          <w:i/>
        </w:rPr>
        <w:t>robust</w:t>
      </w:r>
      <w:r>
        <w:t xml:space="preserve"> (extreme A) or to </w:t>
      </w:r>
      <w:r>
        <w:rPr>
          <w:i/>
        </w:rPr>
        <w:t>transformed</w:t>
      </w:r>
      <w:r>
        <w:t xml:space="preserve"> (extreme B) — yields sign-test </w:t>
      </w:r>
      <w:r>
        <w:rPr>
          <w:i/>
        </w:rPr>
        <w:t>p</w:t>
      </w:r>
      <w:r>
        <w:t xml:space="preserve"> = 0.004 (A) or 0.021 (B): the verdict is robust to either prior. The v1.1 pre-analysis plan filed at OSF commits a CFA marker-variable test, a configural-invariance test with two human coders and ≥50 cases per family, and strengthened 1st-order quotation discipline.</w:t>
      </w:r>
    </w:p>
    <w:p>
      <w:pPr>
        <w:pStyle w:val="Heading2"/>
      </w:pPr>
      <w:r>
        <w:t>6.3 Robustness checks</w:t>
      </w:r>
    </w:p>
    <w:p>
      <w:r>
        <w:t xml:space="preserve">A HARKing-risk hold-out addresses the pilot-case circularity directly. Excluding the four pilot cases (1 Törnberg, 2 Keith, 7 Baccolini, 21 Larson) and re-running the role-level paired sign test on the remaining 32 cases yields 13 positive differences out of 15 defined roles (one role drops because its </w:t>
      </w:r>
      <w:r>
        <w:rPr>
          <w:i/>
        </w:rPr>
        <w:t>V</w:t>
      </w:r>
      <w:r>
        <w:t xml:space="preserve"> is undefined on the 32-case subset; two-sided binomial </w:t>
      </w:r>
      <w:r>
        <w:rPr>
          <w:i/>
        </w:rPr>
        <w:t>p</w:t>
      </w:r>
      <w:r>
        <w:t xml:space="preserve"> = 0.007), </w:t>
      </w:r>
      <w:r>
        <w:rPr>
          <w:i/>
        </w:rPr>
        <w:t>V</w:t>
      </w:r>
      <w:r>
        <w:t xml:space="preserve">_family = 0.253, </w:t>
      </w:r>
      <w:r>
        <w:rPr>
          <w:i/>
        </w:rPr>
        <w:t>V</w:t>
      </w:r>
      <w:r>
        <w:t xml:space="preserve">_capability = 0.208, and </w:t>
      </w:r>
      <w:r>
        <w:rPr>
          <w:i/>
        </w:rPr>
        <w:t>V</w:t>
      </w:r>
      <w:r>
        <w:t xml:space="preserve"> gap = +0.045 — all consistent in direction with the full-sample values and still statistically significant. The pilot cases contribute to specific role counts (e.g., removing Törnberg drops the routine-coder shrinking count from 15 to 13) but do not drive the H3 verdict. First-coder non-blindness is a real and disclosed limitation (H1, H2, H3 were specified before coding but the coder held the hypotheses in mind during coding); the pre-specified blind second-coder pass and Appendix C stranger-coder protocol are the paper's response.</w:t>
      </w:r>
    </w:p>
    <w:p>
      <w:pPr>
        <w:pStyle w:val="Heading2"/>
      </w:pPr>
      <w:r>
        <w:t>6.4 H3 confirmatory test (two complementary lenses)</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w:t>
      </w:r>
      <w:r>
        <w:t xml:space="preserve"> Status distribution by case family.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w:t>
      </w:r>
      <w:r>
        <w:t xml:space="preserve"> Status distribution by primary AI capability.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i/>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i/>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i/>
        </w:rPr>
        <w:t>case-cluster bootstrap</w:t>
      </w:r>
      <w:r>
        <w:t xml:space="preserve"> (B = 2,000, seed 20260425, resampling cases with replacement), which yields V_family 95% CI [0.261, 0.430], V_capability 95% CI [0.193, 0.451], and V_gap 95%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AI capability (raw 0.33, adj. 0.66); (6) on case family (raw 0.58, adj. 0.66).</w:t>
      </w:r>
    </w:p>
    <w:p>
      <w:r>
        <w:t xml:space="preserve">H3 is therefore </w:t>
      </w:r>
      <w:r>
        <w:rPr>
          <w:i/>
        </w:rPr>
        <w:t>supported as a cell-level repository pattern but not significant under the clustering-aware case-level null at N</w:t>
      </w:r>
      <w:r>
        <w:t xml:space="preserve"> = 36 </w:t>
      </w:r>
      <w:r>
        <w:rPr>
          <w:i/>
        </w:rPr>
        <w:t>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pPr>
        <w:pStyle w:val="Heading2"/>
      </w:pPr>
      <w:r>
        <w:t>6.5 Bounded claims</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et al.,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pPr>
        <w:pStyle w:val="Heading2"/>
      </w:pPr>
      <w:r>
        <w:t>7.1 Findings synthesis</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sort onto two aggregate dimensions of distinct theoretical provenance (§2.3). The </w:t>
      </w:r>
      <w:r>
        <w:rPr>
          <w:i/>
        </w:rPr>
        <w:t>allocation</w:t>
      </w:r>
      <w:r>
        <w:t xml:space="preserve"> axis (robust → conditional → transformed → shrinking) is deductively anchored to the automation-augmentation paradox (Raisch &amp; Krakowski, 2021; Autor, 2015) and tracks how human performance yields scope, content, then volume. The </w:t>
      </w:r>
      <w:r>
        <w:rPr>
          <w:i/>
        </w:rPr>
        <w:t>specification</w:t>
      </w:r>
      <w:r>
        <w:t xml:space="preserve"> axis (split and merge pressure) emerged inductively from constant comparison across cases (Gioia et al., 2013) and revises the unit of analysis itself.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pPr>
        <w:pStyle w:val="Heading2"/>
      </w:pPr>
      <w:r>
        <w:t>7.2 Three propositions for the 2027 hold-out</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i/>
        </w:rPr>
        <w:t>P1.</w:t>
      </w:r>
      <w:r>
        <w:t xml:space="preserve"> procedural roles co-occur as a single epistemic-guardian configuration; </w:t>
      </w:r>
      <w:r>
        <w:rPr>
          <w:i/>
        </w:rPr>
        <w:t>P2.</w:t>
      </w:r>
      <w:r>
        <w:t xml:space="preserve"> shrinkage clusters where </w:t>
      </w:r>
      <w:r>
        <w:rPr>
          <w:i/>
        </w:rPr>
        <w:t>public-ground-truth</w:t>
      </w:r>
      <w:r>
        <w:t xml:space="preserve"> ∨ </w:t>
      </w:r>
      <w:r>
        <w:rPr>
          <w:i/>
        </w:rPr>
        <w:t>post-hoc-auditability</w:t>
      </w:r>
      <w:r>
        <w:t xml:space="preserve"> holds, not where AI capability is highest; </w:t>
      </w:r>
      <w:r>
        <w:rPr>
          <w:i/>
        </w:rPr>
        <w:t>P3.</w:t>
      </w:r>
      <w:r>
        <w:t xml:space="preserve"> as agentic autonomy rises, protocol-and-provenance and accountability-and-labor undergo merge pressure rather than independent transformation.</w:t>
      </w:r>
    </w:p>
    <w:p>
      <w:pPr>
        <w:pStyle w:val="Heading2"/>
      </w:pPr>
      <w:r>
        <w:t>7.3 Stakeholder recommendations</w:t>
      </w:r>
    </w:p>
    <w:p>
      <w:r>
        <w:t xml:space="preserve">The rubric serves three audiences. </w:t>
      </w:r>
      <w:r>
        <w:rPr>
          <w:i/>
        </w:rPr>
        <w:t>Methods researchers</w:t>
      </w:r>
      <w:r>
        <w:t xml:space="preserve"> receive a role-first vocabulary and six behaviorally-anchored statuses applicable to a new case without consulting the underlying database. </w:t>
      </w:r>
      <w:r>
        <w:rPr>
          <w:i/>
        </w:rPr>
        <w:t>Reviewers and editors</w:t>
      </w:r>
      <w:r>
        <w:t xml:space="preserve"> receive an audit scaffold: the role × status table and the §3.1 exemplar index let them locate whether a manuscript's automation claims operate at the task-cluster layer (where shrinkage is defensible) or the role layer (where evidence in this repository does not support disappearance). </w:t>
      </w:r>
      <w:r>
        <w:rPr>
          <w:i/>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Törnberg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§3.1, the implied human-AI coordination mechanism, and the count of role × case cells coded at that status in the current repository (denominator = 612 cells throughout).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56 / 612 cells robust (15 of 36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30 / 612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Törnberg, 2025 / Case 1</w:t>
            </w:r>
          </w:p>
        </w:tc>
        <w:tc>
          <w:tcPr>
            <w:tcW w:type="dxa" w:w="1728"/>
          </w:tcPr>
          <w:p>
            <w:r/>
            <w:r>
              <w:t>40 / 612 cells shrinking (concentrated in 11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39 / 612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612 cells (both on Case 10)</w:t>
            </w:r>
          </w:p>
        </w:tc>
      </w:tr>
    </w:tbl>
    <w:p/>
    <w:p>
      <w:r>
        <w:t xml:space="preserve">The contribution is the comparative typology audit itself — the worked application of a six-status rubric to 36 source-backed cases of AI in research, anchored deductively to the automation-augmentation paradox and inductively to the specification operations the cases forced. The audit yields three released artifacts that operationalize the framework for downstream use: (1) the v1.0 rubric — a behaviorally-anchored instrument for coding role-status change at the (role × case) cell level; (2) the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audit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output. We hope this audit serves as a catalyst for instrument-grade comparative audits of role-system change under AI embedding. The empirical terrain has changed: not from human research to machine research, but from one research role system to another.</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w:t>
      </w:r>
      <w:r>
        <w:rPr>
          <w:i/>
        </w:rPr>
        <w:t>V</w:t>
      </w:r>
      <w:r>
        <w:t xml:space="preserve">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w:t>
      </w:r>
      <w:r>
        <w:rPr>
          <w:i/>
        </w:rPr>
        <w:t>V</w:t>
      </w:r>
      <w:r>
        <w:t xml:space="preserve"> CIs (</w:t>
      </w:r>
      <w:r>
        <w:rPr>
          <w:i/>
        </w:rPr>
        <w:t>B</w:t>
      </w:r>
      <w:r>
        <w:t xml:space="preserve"> = 2,000, seed 20260425), per-role paired Wilcoxon </w:t>
      </w:r>
      <w:r>
        <w:rPr>
          <w:i/>
        </w:rPr>
        <w:t>W</w:t>
      </w:r>
      <w:r>
        <w:t xml:space="preserve"> = 7 / </w:t>
      </w:r>
      <w:r>
        <w:rPr>
          <w:i/>
        </w:rPr>
        <w:t>p</w:t>
      </w:r>
      <w:r>
        <w:t xml:space="preserve"> = 0.0006 and the sign-test companion </w:t>
      </w:r>
      <w:r>
        <w:rPr>
          <w:i/>
        </w:rPr>
        <w:t>p</w:t>
      </w:r>
      <w:r>
        <w:t xml:space="preserve"> = 0.004, </w:t>
      </w:r>
      <w:r>
        <w:rPr>
          <w:i/>
        </w:rPr>
        <w:t>V</w:t>
      </w:r>
      <w:r>
        <w:t xml:space="preserve">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CI [0.147, 0.439] (</w:t>
      </w:r>
      <w:r>
        <w:rPr>
          <w:i/>
        </w:rPr>
        <w:t>B</w:t>
      </w:r>
      <w:r>
        <w:t xml:space="preserve">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pre-analysis plan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 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References</w:t>
      </w:r>
    </w:p>
    <w:p>
      <w:r>
        <w:t xml:space="preserve">Abbott, A. (1988). </w:t>
      </w:r>
      <w:r>
        <w:rPr>
          <w:i/>
        </w:rPr>
        <w:t>The system of professions: An essay on the division of expert labor</w:t>
      </w:r>
      <w:r>
        <w:t>. University of Chicago Press.</w:t>
      </w:r>
    </w:p>
    <w:p>
      <w:r>
        <w:t xml:space="preserve">Abbott, A. (2005). Linked ecologies: States and universities as environments for professions. </w:t>
      </w:r>
      <w:r>
        <w:rPr>
          <w:i/>
        </w:rPr>
        <w:t>Sociological Theory</w:t>
      </w:r>
      <w:r>
        <w:t xml:space="preserve">, </w:t>
      </w:r>
      <w:r>
        <w:rPr>
          <w:i/>
        </w:rPr>
        <w:t>23</w:t>
      </w:r>
      <w:r>
        <w:t>(3), 245–274.</w:t>
      </w:r>
    </w:p>
    <w:p>
      <w:r>
        <w:t xml:space="preserve">Aguinis, H., Ramani, R. S., &amp; Alabduljader, N. (2023). Best-practice recommendations for producers, evaluators, and users of methodological literature reviews. </w:t>
      </w:r>
      <w:r>
        <w:rPr>
          <w:i/>
        </w:rPr>
        <w:t>Organizational Research Methods</w:t>
      </w:r>
      <w:r>
        <w:t xml:space="preserve">, </w:t>
      </w:r>
      <w:r>
        <w:rPr>
          <w:i/>
        </w:rPr>
        <w:t>26</w:t>
      </w:r>
      <w:r>
        <w:t>(1), 46–76. https://doi.org/10.1177/1094428120943281</w:t>
      </w:r>
    </w:p>
    <w:p>
      <w:r>
        <w:t xml:space="preserve">Aldrich, H. E., &amp; Ruef, M. (2006). </w:t>
      </w:r>
      <w:r>
        <w:rPr>
          <w:i/>
        </w:rPr>
        <w:t>Organizations evolving</w:t>
      </w:r>
      <w:r>
        <w:t xml:space="preserve"> (2nd ed.). Sage.</w:t>
      </w:r>
    </w:p>
    <w:p>
      <w:r>
        <w:t xml:space="preserve">Autor, D. H. (2015). Why are there still so many jobs? The history and future of workplace automation. </w:t>
      </w:r>
      <w:r>
        <w:rPr>
          <w:i/>
        </w:rPr>
        <w:t>Journal of Economic Perspectives</w:t>
      </w:r>
      <w:r>
        <w:t xml:space="preserve">, </w:t>
      </w:r>
      <w:r>
        <w:rPr>
          <w:i/>
        </w:rPr>
        <w:t>29</w:t>
      </w:r>
      <w:r>
        <w:t>(3), 3–30.</w:t>
      </w:r>
    </w:p>
    <w:p>
      <w:r>
        <w:t>Baccolini, R. (2026). Compact large language models for title and abstract screening in systematic reviews: An assessment of feasibility, accuracy, and workload reduction.</w:t>
      </w:r>
    </w:p>
    <w:p>
      <w:r>
        <w:t xml:space="preserve">Bail, C. A. (2024). Can generative AI improve social science? </w:t>
      </w:r>
      <w:r>
        <w:rPr>
          <w:i/>
        </w:rPr>
        <w:t>Proceedings of the National Academy of Sciences</w:t>
      </w:r>
      <w:r>
        <w:t xml:space="preserve">, </w:t>
      </w:r>
      <w:r>
        <w:rPr>
          <w:i/>
        </w:rPr>
        <w:t>121</w:t>
      </w:r>
      <w:r>
        <w:t>(21), e2314021121.</w:t>
      </w:r>
    </w:p>
    <w:p>
      <w:r>
        <w:t xml:space="preserve">Barley, S. R. (1986). Technology as an occasion for structuring: Evidence from observations of CT scanners and the social order of radiology departments. </w:t>
      </w:r>
      <w:r>
        <w:rPr>
          <w:i/>
        </w:rPr>
        <w:t>Administrative Science Quarterly</w:t>
      </w:r>
      <w:r>
        <w:t xml:space="preserve">, </w:t>
      </w:r>
      <w:r>
        <w:rPr>
          <w:i/>
        </w:rPr>
        <w:t>31</w:t>
      </w:r>
      <w:r>
        <w:t>(1), 78–108.</w:t>
      </w:r>
    </w:p>
    <w:p>
      <w:r>
        <w:t xml:space="preserve">Barley, S. R., &amp; Kunda, G. (2001). Bringing work back in. </w:t>
      </w:r>
      <w:r>
        <w:rPr>
          <w:i/>
        </w:rPr>
        <w:t>Organization Science</w:t>
      </w:r>
      <w:r>
        <w:t xml:space="preserve">, </w:t>
      </w:r>
      <w:r>
        <w:rPr>
          <w:i/>
        </w:rPr>
        <w:t>12</w:t>
      </w:r>
      <w:r>
        <w:t>(1), 76–95.</w:t>
      </w:r>
    </w:p>
    <w:p>
      <w:r>
        <w:t xml:space="preserve">Bergh, D. D., Sharp, B. M., Aguinis, H., &amp; Li, M. (2017). Is there a credibility crisis in strategic management research? Evidence on the reproducibility of study findings. </w:t>
      </w:r>
      <w:r>
        <w:rPr>
          <w:i/>
        </w:rPr>
        <w:t>Strategic Organization</w:t>
      </w:r>
      <w:r>
        <w:t xml:space="preserve">, </w:t>
      </w:r>
      <w:r>
        <w:rPr>
          <w:i/>
        </w:rPr>
        <w:t>15</w:t>
      </w:r>
      <w:r>
        <w:t>(3), 423–436.</w:t>
      </w:r>
    </w:p>
    <w:p>
      <w:r>
        <w:t>Bleier, A. (n.d.). Automating computational reproducibility in social science: Comparing prompt-based and agent-based approaches.</w:t>
      </w:r>
    </w:p>
    <w:p>
      <w:r>
        <w:t xml:space="preserve">Bommasani, R., et al. (2022). On the opportunities and risks of foundation models. </w:t>
      </w:r>
      <w:r>
        <w:rPr>
          <w:i/>
        </w:rPr>
        <w:t>arXiv:2108.07258</w:t>
      </w:r>
      <w:r>
        <w:t>.</w:t>
      </w:r>
    </w:p>
    <w:p>
      <w:r>
        <w:t xml:space="preserve">Borsboom, D., Mellenbergh, G. J., &amp; van Heerden, J. (2004). The concept of validity. </w:t>
      </w:r>
      <w:r>
        <w:rPr>
          <w:i/>
        </w:rPr>
        <w:t>Psychological Review</w:t>
      </w:r>
      <w:r>
        <w:t xml:space="preserve">, </w:t>
      </w:r>
      <w:r>
        <w:rPr>
          <w:i/>
        </w:rPr>
        <w:t>111</w:t>
      </w:r>
      <w:r>
        <w:t>(4), 1061–1071.</w:t>
      </w:r>
    </w:p>
    <w:p>
      <w:r>
        <w:t xml:space="preserve">Brynjolfsson, E., &amp; Mitchell, T. (2017). What can machine learning do? Workforce implications. </w:t>
      </w:r>
      <w:r>
        <w:rPr>
          <w:i/>
        </w:rPr>
        <w:t>Science</w:t>
      </w:r>
      <w:r>
        <w:t xml:space="preserve">, </w:t>
      </w:r>
      <w:r>
        <w:rPr>
          <w:i/>
        </w:rPr>
        <w:t>358</w:t>
      </w:r>
      <w:r>
        <w:t>(6370), 1530–1534.</w:t>
      </w:r>
    </w:p>
    <w:p>
      <w:r>
        <w:t xml:space="preserve">Chang, Y., et al. (2024). A survey on evaluation of large language models. </w:t>
      </w:r>
      <w:r>
        <w:rPr>
          <w:i/>
        </w:rPr>
        <w:t>ACM Transactions on Intelligent Systems and Technology</w:t>
      </w:r>
      <w:r>
        <w:t xml:space="preserve">, </w:t>
      </w:r>
      <w:r>
        <w:rPr>
          <w:i/>
        </w:rPr>
        <w:t>15</w:t>
      </w:r>
      <w:r>
        <w:t>(3), 1–45.</w:t>
      </w:r>
    </w:p>
    <w:p>
      <w:r>
        <w:t xml:space="preserve">Cornelissen, J. P. (2017). Editor's comments: Developing propositions, a process model, or a typology? Addressing the challenges of writing theory without a boilerplate. </w:t>
      </w:r>
      <w:r>
        <w:rPr>
          <w:i/>
        </w:rPr>
        <w:t>Academy of Management Review</w:t>
      </w:r>
      <w:r>
        <w:t xml:space="preserve">, </w:t>
      </w:r>
      <w:r>
        <w:rPr>
          <w:i/>
        </w:rPr>
        <w:t>42</w:t>
      </w:r>
      <w:r>
        <w:t>(1), 1–9.</w:t>
      </w:r>
    </w:p>
    <w:p>
      <w:r>
        <w:t xml:space="preserve">Cornelissen, J. P., Höllerer, M. A., &amp; Seidl, D. (2021). What theory is and can be: Forms of theorizing in organizational scholarship. </w:t>
      </w:r>
      <w:r>
        <w:rPr>
          <w:i/>
        </w:rPr>
        <w:t>Organization Theory</w:t>
      </w:r>
      <w:r>
        <w:t xml:space="preserve">, </w:t>
      </w:r>
      <w:r>
        <w:rPr>
          <w:i/>
        </w:rPr>
        <w:t>2</w:t>
      </w:r>
      <w:r>
        <w:t>(3), 1–19.</w:t>
      </w:r>
    </w:p>
    <w:p>
      <w:r>
        <w:t>Cox, J. (n.d.). AI disclosure with DAISY.</w:t>
      </w:r>
    </w:p>
    <w:p>
      <w:r>
        <w:t xml:space="preserve">Cronbach, L. J., &amp; Meehl, P. E. (1955). Construct validity in psychological tests. </w:t>
      </w:r>
      <w:r>
        <w:rPr>
          <w:i/>
        </w:rPr>
        <w:t>Psychological Bulletin</w:t>
      </w:r>
      <w:r>
        <w:t xml:space="preserve">, </w:t>
      </w:r>
      <w:r>
        <w:rPr>
          <w:i/>
        </w:rPr>
        <w:t>52</w:t>
      </w:r>
      <w:r>
        <w:t>(4), 281–302.</w:t>
      </w:r>
    </w:p>
    <w:p>
      <w:r>
        <w:t xml:space="preserve">Delbridge, R., &amp; Fiss, P. C. (2013). Editors' comments: Styles of theorizing and the social organization of knowledge. </w:t>
      </w:r>
      <w:r>
        <w:rPr>
          <w:i/>
        </w:rPr>
        <w:t>Academy of Management Review</w:t>
      </w:r>
      <w:r>
        <w:t xml:space="preserve">, </w:t>
      </w:r>
      <w:r>
        <w:rPr>
          <w:i/>
        </w:rPr>
        <w:t>38</w:t>
      </w:r>
      <w:r>
        <w:t>(3), 325–331.</w:t>
      </w:r>
    </w:p>
    <w:p>
      <w:r>
        <w:t xml:space="preserve">Doty, D. H., &amp; Glick, W. H. (1994). Typologies as a unique form of theory building: Toward improved understanding and modeling. </w:t>
      </w:r>
      <w:r>
        <w:rPr>
          <w:i/>
        </w:rPr>
        <w:t>Academy of Management Review</w:t>
      </w:r>
      <w:r>
        <w:t xml:space="preserve">, </w:t>
      </w:r>
      <w:r>
        <w:rPr>
          <w:i/>
        </w:rPr>
        <w:t>19</w:t>
      </w:r>
      <w:r>
        <w:t>(2), 230–251.</w:t>
      </w:r>
    </w:p>
    <w:p>
      <w:r>
        <w:t xml:space="preserve">Duriau, V. J., Reger, R. K., &amp; Pfarrer, M. D. (2007). A content analysis of the content analysis literature in organization studies. </w:t>
      </w:r>
      <w:r>
        <w:rPr>
          <w:i/>
        </w:rPr>
        <w:t>Organizational Research Methods</w:t>
      </w:r>
      <w:r>
        <w:t xml:space="preserve">, </w:t>
      </w:r>
      <w:r>
        <w:rPr>
          <w:i/>
        </w:rPr>
        <w:t>10</w:t>
      </w:r>
      <w:r>
        <w:t>(1), 5–34.</w:t>
      </w:r>
    </w:p>
    <w:p>
      <w:r>
        <w:t xml:space="preserve">Edwards, J. R., &amp; Bagozzi, R. P. (2000). On the nature and direction of relationships between constructs and measures. </w:t>
      </w:r>
      <w:r>
        <w:rPr>
          <w:i/>
        </w:rPr>
        <w:t>Psychological Methods</w:t>
      </w:r>
      <w:r>
        <w:t xml:space="preserve">, </w:t>
      </w:r>
      <w:r>
        <w:rPr>
          <w:i/>
        </w:rPr>
        <w:t>5</w:t>
      </w:r>
      <w:r>
        <w:t>(2), 155–174.</w:t>
      </w:r>
    </w:p>
    <w:p>
      <w:r>
        <w:t xml:space="preserve">Eisenhardt, K. M. (1989). Building theories from case study research. </w:t>
      </w:r>
      <w:r>
        <w:rPr>
          <w:i/>
        </w:rPr>
        <w:t>Academy of Management Review</w:t>
      </w:r>
      <w:r>
        <w:t xml:space="preserve">, </w:t>
      </w:r>
      <w:r>
        <w:rPr>
          <w:i/>
        </w:rPr>
        <w:t>14</w:t>
      </w:r>
      <w:r>
        <w:t>(4), 532–550.</w:t>
      </w:r>
    </w:p>
    <w:p>
      <w:r>
        <w:t xml:space="preserve">Eisenhardt, K. M. (2021). What is the Eisenhardt method, really? </w:t>
      </w:r>
      <w:r>
        <w:rPr>
          <w:i/>
        </w:rPr>
        <w:t>Strategic Organization</w:t>
      </w:r>
      <w:r>
        <w:t xml:space="preserve">, </w:t>
      </w:r>
      <w:r>
        <w:rPr>
          <w:i/>
        </w:rPr>
        <w:t>19</w:t>
      </w:r>
      <w:r>
        <w:t>(1), 147–160.</w:t>
      </w:r>
    </w:p>
    <w:p>
      <w:r>
        <w:t xml:space="preserve">Eyal, G. (2013). For a sociology of expertise: The social origins of the autism epidemic. </w:t>
      </w:r>
      <w:r>
        <w:rPr>
          <w:i/>
        </w:rPr>
        <w:t>American Journal of Sociology</w:t>
      </w:r>
      <w:r>
        <w:t xml:space="preserve">, </w:t>
      </w:r>
      <w:r>
        <w:rPr>
          <w:i/>
        </w:rPr>
        <w:t>118</w:t>
      </w:r>
      <w:r>
        <w:t>(4), 863–907.</w:t>
      </w:r>
    </w:p>
    <w:p>
      <w:r>
        <w:t xml:space="preserve">Faraj, S., &amp; Pachidi, S. (2021). Beyond Uberization: The co-constitution of technology and organizing. </w:t>
      </w:r>
      <w:r>
        <w:rPr>
          <w:i/>
        </w:rPr>
        <w:t>Organization Theory</w:t>
      </w:r>
      <w:r>
        <w:t xml:space="preserve">, </w:t>
      </w:r>
      <w:r>
        <w:rPr>
          <w:i/>
        </w:rPr>
        <w:t>2</w:t>
      </w:r>
      <w:r>
        <w:t>(1), 1–14.</w:t>
      </w:r>
    </w:p>
    <w:p>
      <w:r>
        <w:t xml:space="preserve">Feldman, M. S., &amp; Pentland, B. T. (2003). Reconceptualizing organizational routines as a source of flexibility and change. </w:t>
      </w:r>
      <w:r>
        <w:rPr>
          <w:i/>
        </w:rPr>
        <w:t>Administrative Science Quarterly</w:t>
      </w:r>
      <w:r>
        <w:t xml:space="preserve">, </w:t>
      </w:r>
      <w:r>
        <w:rPr>
          <w:i/>
        </w:rPr>
        <w:t>48</w:t>
      </w:r>
      <w:r>
        <w:t>(1), 94–118.</w:t>
      </w:r>
    </w:p>
    <w:p>
      <w:r>
        <w:t xml:space="preserve">Fiss, P. C. (2011). Building better causal theories: A fuzzy set approach to typologies in organization research. </w:t>
      </w:r>
      <w:r>
        <w:rPr>
          <w:i/>
        </w:rPr>
        <w:t>Academy of Management Journal</w:t>
      </w:r>
      <w:r>
        <w:t xml:space="preserve">, </w:t>
      </w:r>
      <w:r>
        <w:rPr>
          <w:i/>
        </w:rPr>
        <w:t>54</w:t>
      </w:r>
      <w:r>
        <w:t>(2), 393–420.</w:t>
      </w:r>
    </w:p>
    <w:p>
      <w:r>
        <w:t xml:space="preserve">Flyvbjerg, B. (2006). Five misunderstandings about case-study research. </w:t>
      </w:r>
      <w:r>
        <w:rPr>
          <w:i/>
        </w:rPr>
        <w:t>Qualitative Inquiry</w:t>
      </w:r>
      <w:r>
        <w:t xml:space="preserve">, </w:t>
      </w:r>
      <w:r>
        <w:rPr>
          <w:i/>
        </w:rPr>
        <w:t>12</w:t>
      </w:r>
      <w:r>
        <w:t>(2), 219–245.</w:t>
      </w:r>
    </w:p>
    <w:p>
      <w:r>
        <w:t xml:space="preserve">Freidson, E. (2001). </w:t>
      </w:r>
      <w:r>
        <w:rPr>
          <w:i/>
        </w:rPr>
        <w:t>Professionalism, the third logic: On the practice of knowledge</w:t>
      </w:r>
      <w:r>
        <w:t>. University of Chicago Press.</w:t>
      </w:r>
    </w:p>
    <w:p>
      <w:r>
        <w:t xml:space="preserve">Frey, C. B., &amp; Osborne, M. A. (2017). The future of employment: How susceptible are jobs to computerisation? </w:t>
      </w:r>
      <w:r>
        <w:rPr>
          <w:i/>
        </w:rPr>
        <w:t>Technological Forecasting and Social Change</w:t>
      </w:r>
      <w:r>
        <w:t xml:space="preserve">, </w:t>
      </w:r>
      <w:r>
        <w:rPr>
          <w:i/>
        </w:rPr>
        <w:t>114</w:t>
      </w:r>
      <w:r>
        <w:t>, 254–280.</w:t>
      </w:r>
    </w:p>
    <w:p>
      <w:r>
        <w:t xml:space="preserve">Furnari, S., Crilly, D., Misangyi, V. F., Greckhamer, T., Fiss, P. C., &amp; Aguilera, R. V. (2021). Capturing causal complexity: Heuristics for configurational theorizing. </w:t>
      </w:r>
      <w:r>
        <w:rPr>
          <w:i/>
        </w:rPr>
        <w:t>Academy of Management Review</w:t>
      </w:r>
      <w:r>
        <w:t xml:space="preserve">, </w:t>
      </w:r>
      <w:r>
        <w:rPr>
          <w:i/>
        </w:rPr>
        <w:t>46</w:t>
      </w:r>
      <w:r>
        <w:t>(4), 778–799.</w:t>
      </w:r>
    </w:p>
    <w:p>
      <w:r>
        <w:t xml:space="preserve">Gelman, A., &amp; Loken, E. (2014). The statistical crisis in science. </w:t>
      </w:r>
      <w:r>
        <w:rPr>
          <w:i/>
        </w:rPr>
        <w:t>American Scientist</w:t>
      </w:r>
      <w:r>
        <w:t xml:space="preserve">, </w:t>
      </w:r>
      <w:r>
        <w:rPr>
          <w:i/>
        </w:rPr>
        <w:t>102</w:t>
      </w:r>
      <w:r>
        <w:t>(6), 460–465.</w:t>
      </w:r>
    </w:p>
    <w:p>
      <w:r>
        <w:t xml:space="preserve">Gioia, D. A., Corley, K. G., &amp; Hamilton, A. L. (2013). Seeking qualitative rigor in inductive research: Notes on the Gioia methodology. </w:t>
      </w:r>
      <w:r>
        <w:rPr>
          <w:i/>
        </w:rPr>
        <w:t>Organizational Research Methods</w:t>
      </w:r>
      <w:r>
        <w:t xml:space="preserve">, </w:t>
      </w:r>
      <w:r>
        <w:rPr>
          <w:i/>
        </w:rPr>
        <w:t>16</w:t>
      </w:r>
      <w:r>
        <w:t>(1), 15–31.</w:t>
      </w:r>
    </w:p>
    <w:p>
      <w:r>
        <w:t>Gligorić, K. (n.d.). Multi-perspective LLM annotations for valid analyses in subjective tasks.</w:t>
      </w:r>
    </w:p>
    <w:p>
      <w:r>
        <w:t xml:space="preserve">Grossmann, I., Feinberg, M., Parker, D. C., Christakis, N. A., Tetlock, P. E., &amp; Cunningham, W. A. (2023). AI and the transformation of social science research. </w:t>
      </w:r>
      <w:r>
        <w:rPr>
          <w:i/>
        </w:rPr>
        <w:t>Science</w:t>
      </w:r>
      <w:r>
        <w:t xml:space="preserve">, </w:t>
      </w:r>
      <w:r>
        <w:rPr>
          <w:i/>
        </w:rPr>
        <w:t>380</w:t>
      </w:r>
      <w:r>
        <w:t>(6650), 1108–1109.</w:t>
      </w:r>
    </w:p>
    <w:p>
      <w:r>
        <w:t>Ha, D. (n.d.). The AI Scientist: Towards fully automated open-ended scientific discovery.</w:t>
      </w:r>
    </w:p>
    <w:p>
      <w:r>
        <w:t>Hajishirzi, H. (2026). Synthesizing scientific literature with retrieval-augmented language models.</w:t>
      </w:r>
    </w:p>
    <w:p>
      <w:r>
        <w:t xml:space="preserve">Hannan, M. T., &amp; Freeman, J. (1977). The population ecology of organizations. </w:t>
      </w:r>
      <w:r>
        <w:rPr>
          <w:i/>
        </w:rPr>
        <w:t>American Journal of Sociology</w:t>
      </w:r>
      <w:r>
        <w:t xml:space="preserve">, </w:t>
      </w:r>
      <w:r>
        <w:rPr>
          <w:i/>
        </w:rPr>
        <w:t>82</w:t>
      </w:r>
      <w:r>
        <w:t>(5), 929–964.</w:t>
      </w:r>
    </w:p>
    <w:p>
      <w:r>
        <w:t>Hernandez, A. (2025). Reading children's moral dramas in anthropological fieldnotes: A human-AI hybrid approach.</w:t>
      </w:r>
    </w:p>
    <w:p>
      <w:r>
        <w:t xml:space="preserve">Hickman, L., Thapa, S., Tay, L., Cao, M., &amp; Srinivasan, P. (2022). Text preprocessing for text mining in organizational research: Review and recommendations. </w:t>
      </w:r>
      <w:r>
        <w:rPr>
          <w:i/>
        </w:rPr>
        <w:t>Organizational Research Methods</w:t>
      </w:r>
      <w:r>
        <w:t xml:space="preserve">, </w:t>
      </w:r>
      <w:r>
        <w:rPr>
          <w:i/>
        </w:rPr>
        <w:t>25</w:t>
      </w:r>
      <w:r>
        <w:t>(1), 114–146.</w:t>
      </w:r>
    </w:p>
    <w:p>
      <w:r>
        <w:t xml:space="preserve">Hruschka, D. J., Schwartz, D., St. John, D. C., Picone-Decaro, E., Jenkins, R. A., &amp; Carey, J. W. (2004). Reliability in coding open-ended data: Lessons learned from HIV behavioral research. </w:t>
      </w:r>
      <w:r>
        <w:rPr>
          <w:i/>
        </w:rPr>
        <w:t>Field Methods</w:t>
      </w:r>
      <w:r>
        <w:t xml:space="preserve">, </w:t>
      </w:r>
      <w:r>
        <w:rPr>
          <w:i/>
        </w:rPr>
        <w:t>16</w:t>
      </w:r>
      <w:r>
        <w:t>(3), 307–331.</w:t>
      </w:r>
    </w:p>
    <w:p>
      <w:r>
        <w:t xml:space="preserve">Ioannidis, J. P. A. (2005). Why most published research findings are false. </w:t>
      </w:r>
      <w:r>
        <w:rPr>
          <w:i/>
        </w:rPr>
        <w:t>PLoS Medicine</w:t>
      </w:r>
      <w:r>
        <w:t xml:space="preserve">, </w:t>
      </w:r>
      <w:r>
        <w:rPr>
          <w:i/>
        </w:rPr>
        <w:t>2</w:t>
      </w:r>
      <w:r>
        <w:t>(8), e124.</w:t>
      </w:r>
    </w:p>
    <w:p>
      <w:r>
        <w:t>Kang, J. (2025). REPRO-Bench: Can agentic AI systems assess the reproducibility of social science research?</w:t>
      </w:r>
    </w:p>
    <w:p>
      <w:r>
        <w:t>Keith, K. A. (2026). Codebook LLMs: Evaluating LLMs as measurement tools for political science concepts.</w:t>
      </w:r>
    </w:p>
    <w:p>
      <w:r>
        <w:t xml:space="preserve">King, G., Keohane, R. O., &amp; Verba, S. (1994). </w:t>
      </w:r>
      <w:r>
        <w:rPr>
          <w:i/>
        </w:rPr>
        <w:t>Designing social inquiry: Scientific inference in qualitative research</w:t>
      </w:r>
      <w:r>
        <w:t>. Princeton University Press.</w:t>
      </w:r>
    </w:p>
    <w:p>
      <w:r>
        <w:t xml:space="preserve">Krippendorff, K. (2011). Computing Krippendorff's alpha-reliability. </w:t>
      </w:r>
      <w:r>
        <w:rPr>
          <w:i/>
        </w:rPr>
        <w:t>Annenberg School for Communication Departmental Papers</w:t>
      </w:r>
      <w:r>
        <w:t>, University of Pennsylvania.</w:t>
      </w:r>
    </w:p>
    <w:p>
      <w:r>
        <w:t xml:space="preserve">Langley, A. (1999). Strategies for theorizing from process data. </w:t>
      </w:r>
      <w:r>
        <w:rPr>
          <w:i/>
        </w:rPr>
        <w:t>Academy of Management Review</w:t>
      </w:r>
      <w:r>
        <w:t xml:space="preserve">, </w:t>
      </w:r>
      <w:r>
        <w:rPr>
          <w:i/>
        </w:rPr>
        <w:t>24</w:t>
      </w:r>
      <w:r>
        <w:t>(4), 691–710.</w:t>
      </w:r>
    </w:p>
    <w:p>
      <w:r>
        <w:t>Larson, J. (2024). Synthetic replacements for human survey data? The perils of large language models.</w:t>
      </w:r>
    </w:p>
    <w:p>
      <w:r>
        <w:t xml:space="preserve">Lazer, D., et al. (2009). Computational social science. </w:t>
      </w:r>
      <w:r>
        <w:rPr>
          <w:i/>
        </w:rPr>
        <w:t>Science</w:t>
      </w:r>
      <w:r>
        <w:t xml:space="preserve">, </w:t>
      </w:r>
      <w:r>
        <w:rPr>
          <w:i/>
        </w:rPr>
        <w:t>323</w:t>
      </w:r>
      <w:r>
        <w:t>(5915), 721–723.</w:t>
      </w:r>
    </w:p>
    <w:p>
      <w:r>
        <w:t xml:space="preserve">Lazer, D., et al. (2020). Computational social science: Obstacles and opportunities. </w:t>
      </w:r>
      <w:r>
        <w:rPr>
          <w:i/>
        </w:rPr>
        <w:t>Science</w:t>
      </w:r>
      <w:r>
        <w:t xml:space="preserve">, </w:t>
      </w:r>
      <w:r>
        <w:rPr>
          <w:i/>
        </w:rPr>
        <w:t>369</w:t>
      </w:r>
      <w:r>
        <w:t>(6507), 1060–1062.</w:t>
      </w:r>
    </w:p>
    <w:p>
      <w:r>
        <w:t>Li, J. (n.d.). AgentSociety: Large-scale simulation of LLM-driven generative agents advances understanding of human behaviors and society.</w:t>
      </w:r>
    </w:p>
    <w:p>
      <w:r>
        <w:t xml:space="preserve">Liang, P., et al. (2022). Holistic evaluation of language models. </w:t>
      </w:r>
      <w:r>
        <w:rPr>
          <w:i/>
        </w:rPr>
        <w:t>arXiv:2211.09110</w:t>
      </w:r>
      <w:r>
        <w:t>.</w:t>
      </w:r>
    </w:p>
    <w:p>
      <w:r>
        <w:t xml:space="preserve">Lord, R. G., Foti, R. J., &amp; DeVader, C. L. (1984). A test of leadership categorization theory: Internal structure, information processing, and leadership perceptions. </w:t>
      </w:r>
      <w:r>
        <w:rPr>
          <w:i/>
        </w:rPr>
        <w:t>Organizational Behavior and Human Performance</w:t>
      </w:r>
      <w:r>
        <w:t xml:space="preserve">, </w:t>
      </w:r>
      <w:r>
        <w:rPr>
          <w:i/>
        </w:rPr>
        <w:t>34</w:t>
      </w:r>
      <w:r>
        <w:t>(3), 343–378.</w:t>
      </w:r>
    </w:p>
    <w:p>
      <w:r>
        <w:t xml:space="preserve">McHugh, M. L. (2012). Interrater reliability: The kappa statistic. </w:t>
      </w:r>
      <w:r>
        <w:rPr>
          <w:i/>
        </w:rPr>
        <w:t>Biochemia Medica</w:t>
      </w:r>
      <w:r>
        <w:t xml:space="preserve">, </w:t>
      </w:r>
      <w:r>
        <w:rPr>
          <w:i/>
        </w:rPr>
        <w:t>22</w:t>
      </w:r>
      <w:r>
        <w:t>(3), 276–282.</w:t>
      </w:r>
    </w:p>
    <w:p>
      <w:r>
        <w:t xml:space="preserve">Merton, R. K. (1957). The role-set: Problems in sociological theory. </w:t>
      </w:r>
      <w:r>
        <w:rPr>
          <w:i/>
        </w:rPr>
        <w:t>British Journal of Sociology</w:t>
      </w:r>
      <w:r>
        <w:t xml:space="preserve">, </w:t>
      </w:r>
      <w:r>
        <w:rPr>
          <w:i/>
        </w:rPr>
        <w:t>8</w:t>
      </w:r>
      <w:r>
        <w:t>(2), 106–120.</w:t>
      </w:r>
    </w:p>
    <w:p>
      <w:r>
        <w:t xml:space="preserve">Messick, S. (1995). Validity of psychological assessment: Validation of inferences from persons' responses and performances as scientific inquiry into score meaning. </w:t>
      </w:r>
      <w:r>
        <w:rPr>
          <w:i/>
        </w:rPr>
        <w:t>American Psychologist</w:t>
      </w:r>
      <w:r>
        <w:t xml:space="preserve">, </w:t>
      </w:r>
      <w:r>
        <w:rPr>
          <w:i/>
        </w:rPr>
        <w:t>50</w:t>
      </w:r>
      <w:r>
        <w:t>(9), 741–749.</w:t>
      </w:r>
    </w:p>
    <w:p>
      <w:r>
        <w:t xml:space="preserve">Nosek, B. A., et al. (2015). Promoting an open research culture. </w:t>
      </w:r>
      <w:r>
        <w:rPr>
          <w:i/>
        </w:rPr>
        <w:t>Science</w:t>
      </w:r>
      <w:r>
        <w:t xml:space="preserve">, </w:t>
      </w:r>
      <w:r>
        <w:rPr>
          <w:i/>
        </w:rPr>
        <w:t>348</w:t>
      </w:r>
      <w:r>
        <w:t>(6242), 1422–1425.</w:t>
      </w:r>
    </w:p>
    <w:p>
      <w:r>
        <w:t xml:space="preserve">Orlikowski, W. J. (2007). Sociomaterial practices: Exploring technology at work. </w:t>
      </w:r>
      <w:r>
        <w:rPr>
          <w:i/>
        </w:rPr>
        <w:t>Organization Studies</w:t>
      </w:r>
      <w:r>
        <w:t xml:space="preserve">, </w:t>
      </w:r>
      <w:r>
        <w:rPr>
          <w:i/>
        </w:rPr>
        <w:t>28</w:t>
      </w:r>
      <w:r>
        <w:t>(9), 1435–1448.</w:t>
      </w:r>
    </w:p>
    <w:p>
      <w:r>
        <w:t xml:space="preserve">Page, M. J., et al. (2021). The PRISMA 2020 statement: An updated guideline for reporting systematic reviews. </w:t>
      </w:r>
      <w:r>
        <w:rPr>
          <w:i/>
        </w:rPr>
        <w:t>BMJ</w:t>
      </w:r>
      <w:r>
        <w:t xml:space="preserve">, </w:t>
      </w:r>
      <w:r>
        <w:rPr>
          <w:i/>
        </w:rPr>
        <w:t>372</w:t>
      </w:r>
      <w:r>
        <w:t>, n71.</w:t>
      </w:r>
    </w:p>
    <w:p>
      <w:r>
        <w:t>Project APE. (n.d.). Project APE: Can policy evaluation be automated?</w:t>
      </w:r>
    </w:p>
    <w:p>
      <w:r>
        <w:t xml:space="preserve">Puranam, P. (2021). Human-AI collaborative decision-making as an organization design problem. </w:t>
      </w:r>
      <w:r>
        <w:rPr>
          <w:i/>
        </w:rPr>
        <w:t>Journal of Organization Design</w:t>
      </w:r>
      <w:r>
        <w:t xml:space="preserve">, </w:t>
      </w:r>
      <w:r>
        <w:rPr>
          <w:i/>
        </w:rPr>
        <w:t>10</w:t>
      </w:r>
      <w:r>
        <w:t>(2), 75–80.</w:t>
      </w:r>
    </w:p>
    <w:p>
      <w:r>
        <w:t xml:space="preserve">Puranam, P., Alexy, O., &amp; Reitzig, M. (2014). What's "new" about new forms of organizing? </w:t>
      </w:r>
      <w:r>
        <w:rPr>
          <w:i/>
        </w:rPr>
        <w:t>Academy of Management Review</w:t>
      </w:r>
      <w:r>
        <w:t xml:space="preserve">, </w:t>
      </w:r>
      <w:r>
        <w:rPr>
          <w:i/>
        </w:rPr>
        <w:t>39</w:t>
      </w:r>
      <w:r>
        <w:t>(2), 162–180.</w:t>
      </w:r>
    </w:p>
    <w:p>
      <w:r>
        <w:t xml:space="preserve">Ragin, C. C. (2008). </w:t>
      </w:r>
      <w:r>
        <w:rPr>
          <w:i/>
        </w:rPr>
        <w:t>Redesigning social inquiry: Fuzzy sets and beyond</w:t>
      </w:r>
      <w:r>
        <w:t>. University of Chicago Press.</w:t>
      </w:r>
    </w:p>
    <w:p>
      <w:r>
        <w:t xml:space="preserve">Raisch, S., &amp; Krakowski, S. (2021). Artificial intelligence and management: The automation-augmentation paradox. </w:t>
      </w:r>
      <w:r>
        <w:rPr>
          <w:i/>
        </w:rPr>
        <w:t>Academy of Management Review</w:t>
      </w:r>
      <w:r>
        <w:t xml:space="preserve">, </w:t>
      </w:r>
      <w:r>
        <w:rPr>
          <w:i/>
        </w:rPr>
        <w:t>46</w:t>
      </w:r>
      <w:r>
        <w:t>(1), 192–210.</w:t>
      </w:r>
    </w:p>
    <w:p>
      <w:r>
        <w:t xml:space="preserve">Ramarajan, L. (2014). Past, present and future research on multiple identities: Toward an intrapersonal network approach. </w:t>
      </w:r>
      <w:r>
        <w:rPr>
          <w:i/>
        </w:rPr>
        <w:t>Academy of Management Annals</w:t>
      </w:r>
      <w:r>
        <w:t xml:space="preserve">, </w:t>
      </w:r>
      <w:r>
        <w:rPr>
          <w:i/>
        </w:rPr>
        <w:t>8</w:t>
      </w:r>
      <w:r>
        <w:t>(1), 589–659.</w:t>
      </w:r>
    </w:p>
    <w:p>
      <w:r>
        <w:t xml:space="preserve">Siddaway, A. P., Wood, A. M., &amp; Hedges, L. V. (2019). How to do a systematic review: A best practice guide. </w:t>
      </w:r>
      <w:r>
        <w:rPr>
          <w:i/>
        </w:rPr>
        <w:t>Annual Review of Psychology</w:t>
      </w:r>
      <w:r>
        <w:t xml:space="preserve">, </w:t>
      </w:r>
      <w:r>
        <w:rPr>
          <w:i/>
        </w:rPr>
        <w:t>70</w:t>
      </w:r>
      <w:r>
        <w:t>, 747–770.</w:t>
      </w:r>
    </w:p>
    <w:p>
      <w:r>
        <w:t xml:space="preserve">Snyder, H. (2019). Literature review as a research methodology: An overview and guidelines. </w:t>
      </w:r>
      <w:r>
        <w:rPr>
          <w:i/>
        </w:rPr>
        <w:t>Journal of Business Research</w:t>
      </w:r>
      <w:r>
        <w:t xml:space="preserve">, </w:t>
      </w:r>
      <w:r>
        <w:rPr>
          <w:i/>
        </w:rPr>
        <w:t>104</w:t>
      </w:r>
      <w:r>
        <w:t>, 333–339.</w:t>
      </w:r>
    </w:p>
    <w:p>
      <w:r>
        <w:t xml:space="preserve">Stemler, S. (2001). An overview of content analysis. </w:t>
      </w:r>
      <w:r>
        <w:rPr>
          <w:i/>
        </w:rPr>
        <w:t>Practical Assessment, Research &amp; Evaluation</w:t>
      </w:r>
      <w:r>
        <w:t xml:space="preserve">, </w:t>
      </w:r>
      <w:r>
        <w:rPr>
          <w:i/>
        </w:rPr>
        <w:t>7</w:t>
      </w:r>
      <w:r>
        <w:t>(1), 17.</w:t>
      </w:r>
    </w:p>
    <w:p>
      <w:r>
        <w:t xml:space="preserve">Suchman, L. A. (2007). </w:t>
      </w:r>
      <w:r>
        <w:rPr>
          <w:i/>
        </w:rPr>
        <w:t>Human-machine reconfigurations: Plans and situated actions</w:t>
      </w:r>
      <w:r>
        <w:t xml:space="preserve"> (2nd ed.). Cambridge University Press.</w:t>
      </w:r>
    </w:p>
    <w:p>
      <w:r>
        <w:t xml:space="preserve">Tranfield, D., Denyer, D., &amp; Smart, P. (2003). Towards a methodology for developing evidence-informed management knowledge by means of systematic review. </w:t>
      </w:r>
      <w:r>
        <w:rPr>
          <w:i/>
        </w:rPr>
        <w:t>British Journal of Management</w:t>
      </w:r>
      <w:r>
        <w:t xml:space="preserve">, </w:t>
      </w:r>
      <w:r>
        <w:rPr>
          <w:i/>
        </w:rPr>
        <w:t>14</w:t>
      </w:r>
      <w:r>
        <w:t>(3), 207–222.</w:t>
      </w:r>
    </w:p>
    <w:p>
      <w:r>
        <w:t xml:space="preserve">Törnberg, P. (2023). How to use LLMs for text analysis. </w:t>
      </w:r>
      <w:r>
        <w:rPr>
          <w:i/>
        </w:rPr>
        <w:t>arXiv:2307.13106</w:t>
      </w:r>
      <w:r>
        <w:t>.</w:t>
      </w:r>
    </w:p>
    <w:p>
      <w:r>
        <w:t>Törnberg, P. (2025). Large language models outperform expert coders and supervised classifiers at annotating political social media messages.</w:t>
      </w:r>
    </w:p>
    <w:p>
      <w:r>
        <w:t xml:space="preserve">Vandenberg, R. J., &amp; Lance, C. E. (2000). A review and synthesis of the measurement invariance literature: Suggestions, practices, and recommendations for organizational research. </w:t>
      </w:r>
      <w:r>
        <w:rPr>
          <w:i/>
        </w:rPr>
        <w:t>Organizational Research Methods</w:t>
      </w:r>
      <w:r>
        <w:t xml:space="preserve">, </w:t>
      </w:r>
      <w:r>
        <w:rPr>
          <w:i/>
        </w:rPr>
        <w:t>3</w:t>
      </w:r>
      <w:r>
        <w:t>(1), 4–70.</w:t>
      </w:r>
    </w:p>
    <w:p>
      <w:r>
        <w:t xml:space="preserve">Weick, K. E., &amp; Sutcliffe, K. M. (2007). </w:t>
      </w:r>
      <w:r>
        <w:rPr>
          <w:i/>
        </w:rPr>
        <w:t>Managing the unexpected: Resilient performance in an age of uncertainty</w:t>
      </w:r>
      <w:r>
        <w:t xml:space="preserve"> (2nd ed.). Jossey-Bass.</w:t>
      </w:r>
    </w:p>
    <w:p>
      <w:r>
        <w:t xml:space="preserve">Weidinger, L., et al. (2021). Ethical and social risks of harm from language models. </w:t>
      </w:r>
      <w:r>
        <w:rPr>
          <w:i/>
        </w:rPr>
        <w:t>arXiv:2112.04359</w:t>
      </w:r>
      <w:r>
        <w:t>.</w:t>
      </w:r>
    </w:p>
    <w:p>
      <w:r>
        <w:t xml:space="preserve">Welch, C., Piekkari, R., Plakoyiannaki, E., &amp; Paavilainen-Mäntymäki, E. (2011). Theorising from case studies: Towards a pluralist future for international business research. </w:t>
      </w:r>
      <w:r>
        <w:rPr>
          <w:i/>
        </w:rPr>
        <w:t>Journal of International Business Studies</w:t>
      </w:r>
      <w:r>
        <w:t xml:space="preserve">, </w:t>
      </w:r>
      <w:r>
        <w:rPr>
          <w:i/>
        </w:rPr>
        <w:t>42</w:t>
      </w:r>
      <w:r>
        <w:t>(5), 740–762.</w:t>
      </w:r>
    </w:p>
    <w:p>
      <w:r>
        <w:t xml:space="preserve">Whetten, D. A. (1989). What constitutes a theoretical contribution? </w:t>
      </w:r>
      <w:r>
        <w:rPr>
          <w:i/>
        </w:rPr>
        <w:t>Academy of Management Review</w:t>
      </w:r>
      <w:r>
        <w:t xml:space="preserve">, </w:t>
      </w:r>
      <w:r>
        <w:rPr>
          <w:i/>
        </w:rPr>
        <w:t>14</w:t>
      </w:r>
      <w:r>
        <w:t>(4), 490–495.</w:t>
      </w:r>
    </w:p>
    <w:p>
      <w:r>
        <w:t xml:space="preserve">Williams, L. J., Hartman, N., &amp; Cavazotte, F. (2010). Method variance and marker variables: A review and comprehensive CFA marker technique. </w:t>
      </w:r>
      <w:r>
        <w:rPr>
          <w:i/>
        </w:rPr>
        <w:t>Organizational Research Methods</w:t>
      </w:r>
      <w:r>
        <w:t xml:space="preserve">, </w:t>
      </w:r>
      <w:r>
        <w:rPr>
          <w:i/>
        </w:rPr>
        <w:t>13</w:t>
      </w:r>
      <w:r>
        <w:t>(3), 477–514.</w:t>
      </w:r>
    </w:p>
    <w:p>
      <w:r>
        <w:t xml:space="preserve">Woolley, A. W., Chabris, C. F., Pentland, A., Hashmi, N., &amp; Malone, T. W. (2010). Evidence for a collective intelligence factor in the performance of human groups. </w:t>
      </w:r>
      <w:r>
        <w:rPr>
          <w:i/>
        </w:rPr>
        <w:t>Science</w:t>
      </w:r>
      <w:r>
        <w:t xml:space="preserve">, </w:t>
      </w:r>
      <w:r>
        <w:rPr>
          <w:i/>
        </w:rPr>
        <w:t>330</w:t>
      </w:r>
      <w:r>
        <w:t>(6004), 686–688.</w:t>
      </w:r>
    </w:p>
    <w:p>
      <w:r>
        <w:t>Xiao, X. (n.d.). Nonstandard errors in AI agents.</w:t>
      </w:r>
    </w:p>
    <w:p>
      <w:r>
        <w:t>Yin, S. (n.d.). Scientific production in the era of large language models.</w:t>
      </w:r>
    </w:p>
    <w:p>
      <w:r>
        <w:t xml:space="preserve">Ziems, C., Held, W., Shaikh, O., Chen, J., Zhang, Z., &amp; Yang, D. (2024). Can large language models transform computational social science? </w:t>
      </w:r>
      <w:r>
        <w:rPr>
          <w:i/>
        </w:rPr>
        <w:t>Computational Linguistics</w:t>
      </w:r>
      <w:r>
        <w:t xml:space="preserve">, </w:t>
      </w:r>
      <w:r>
        <w:rPr>
          <w:i/>
        </w:rPr>
        <w:t>50</w:t>
      </w:r>
      <w:r>
        <w:t>(1), 237–291.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