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w:t>
      </w:r>
      <w:r>
        <w:rPr>
          <w:b/>
        </w:rPr>
        <w:t>We make three contributions.</w:t>
      </w:r>
      <w:r>
        <w:t xml:space="preserve">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w:t>
      </w:r>
      <w:r>
        <w:rPr>
          <w:i/>
        </w:rPr>
        <w:t>epistemic-guardian</w:t>
      </w:r>
      <w:r>
        <w:t xml:space="preserve"> signature; three throughput clusters shrink in 40 observations (routine first-pass screening, high-consensus coding on ground-truth-rich tasks, structural prose polishing). We offer this as a candidate framework with a v1.0 rubric; pre-committed v1.1 instruments (configural-invariance test, marker-variable CMV bound, human second-coder pass) address inter-coder reliability that fell below the κ ≥ 0.60 acceptance threshold (κ = 0.289), with the structural failure on the </w:t>
      </w:r>
      <w:r>
        <w:rPr>
          <w:i/>
        </w:rPr>
        <w:t>conditional</w:t>
      </w:r>
      <w:r>
        <w:t xml:space="preserve"> and </w:t>
      </w:r>
      <w:r>
        <w:rPr>
          <w:i/>
        </w:rPr>
        <w:t>transformed</w:t>
      </w:r>
      <w:r>
        <w:t xml:space="preserve"> transition-coded anchors. We hope the rubric serves as a catalyst for instrument-grade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Before describing the audit, we clarify the rubric's paradigm location and the literatures it engages versus those it names as scope limits. The audit operates within the modernist measurement tradition of organizational research (Cronbach, Meehl, Messick, Borsboom). It engages the configurational-theorizing tradition (Fiss, Furnari, Misangyi), Krippendorff content analysis, Doty-Glick typology theory, the Feldman-Pentland routines literature on the ostensive aspect, and the Weick-Sutcliffe HRO literature on mindful organizing. We name as scope limits — not as engaged interlocutors — the paradox-theoretic, institutional-theory, Schatzki-Nicolini practice-theoretic, and evolutionary organizational-theory literatures, each of which would license a rival reading the v1.0 rubric does not adjudicate.</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 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rubric performs configurational theorizing in the sense developed by Furnari et al. (2021): the typology's mutability operationalizes their </w:t>
      </w:r>
      <w:r>
        <w:rPr>
          <w:i/>
        </w:rPr>
        <w:t>scoping</w:t>
      </w:r>
      <w:r>
        <w:t xml:space="preserve">, </w:t>
      </w:r>
      <w:r>
        <w:rPr>
          <w:i/>
        </w:rPr>
        <w:t>linking</w:t>
      </w:r>
      <w:r>
        <w:t xml:space="preserve">, and </w:t>
      </w:r>
      <w:r>
        <w:rPr>
          <w:i/>
        </w:rPr>
        <w:t>naming</w:t>
      </w:r>
      <w:r>
        <w:t xml:space="preserve"> heuristics. The four v0.1 base statuses were not a priori categories: </w:t>
      </w:r>
      <w:r>
        <w:rPr>
          <w:i/>
        </w:rPr>
        <w:t>robust</w:t>
      </w:r>
      <w:r>
        <w:t xml:space="preserve"> and </w:t>
      </w:r>
      <w:r>
        <w:rPr>
          <w:i/>
        </w:rPr>
        <w:t>shrinking</w:t>
      </w:r>
      <w:r>
        <w:t xml:space="preserve"> surfaced in the first read-through of Cases 1–2 as the polar anchors the case-text language itself supplied; </w:t>
      </w:r>
      <w:r>
        <w:rPr>
          <w:i/>
        </w:rPr>
        <w:t>conditional</w:t>
      </w:r>
      <w:r>
        <w:t xml:space="preserve"> and </w:t>
      </w:r>
      <w:r>
        <w:rPr>
          <w:i/>
        </w:rPr>
        <w:t>transformed</w:t>
      </w:r>
      <w:r>
        <w:t xml:space="preserve"> were filled in by constant comparison across the next six cases. The rubric grew across four versions: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v0.4 tightened the conditional-vs-transformed tie-breaker.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The audit's load-bearing tradition is </w:t>
      </w:r>
      <w:r>
        <w:rPr>
          <w:i/>
        </w:rPr>
        <w:t>content analysis in the Krippendorff sense</w:t>
      </w:r>
      <w:r>
        <w:t xml:space="preserve">, augmented by case-based theorizing (Eisenhardt, 1989) and typology-as-theory-building (Doty &amp; Glick, 1994). The </w:t>
      </w:r>
      <w:r>
        <w:rPr>
          <w:i/>
        </w:rPr>
        <w:t>transformed</w:t>
      </w:r>
      <w:r>
        <w:t xml:space="preserve"> anchor's before/after language is scope-conditioned to author-stated retrospective verb-swap or new-sub-task language quotable from the case file, not to observed longitudinal transition.</w:t>
      </w:r>
    </w:p>
    <w:p>
      <w:r>
        <w:rPr>
          <w:b/>
        </w:rPr>
        <w:t>Construct form.</w:t>
      </w:r>
      <w:r>
        <w:t xml:space="preserve"> 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V values in §6 are read against the 259-cell observable-and-coded denominator. The anchor-status relationship is </w:t>
      </w:r>
      <w:r>
        <w:rPr>
          <w:i/>
        </w:rPr>
        <w:t>formative</w:t>
      </w:r>
      <w:r>
        <w:t xml:space="preserve"> (Edwards &amp; Bagozzi, 2000): anchors constitute the status by definition.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(The 2024–2026 capability window in (ii) refers to the AI-capability landscape against which the rubric was calibrated; the seed window includes 2023 cases for completeness, with the </w:t>
      </w:r>
      <w:r>
        <w:rPr>
          <w:i/>
        </w:rPr>
        <w:t>transformed</w:t>
      </w:r>
      <w:r>
        <w:t xml:space="preserve"> anchor's before/after coding scope-conditioned to author-stated retrospective language quotable from the case file.) Exclusion (i) is theoretically derived; (ii) and (iii) are empirically observed; (iv) the rubric was developed on cases from a delimited set of occupational communities, and cross-occupation aggregation presupposes occupational invariance the audit has not established (the v1.1 occupational-coding extension is the appropriate instrument).</w:t>
      </w:r>
    </w:p>
    <w:p>
      <w:r>
        <w:t>The four-case pilot also served as coder-development: the first coder re-coded Cases 1 and 2 under v0.4 to verify earlier codings remained stable; full-corpus stability is a v1.2 commitment.</w:t>
      </w:r>
    </w:p>
    <w:p>
      <w:r>
        <w:t>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w:t>
      </w:r>
    </w:p>
    <w:p>
      <w:r>
        <w:t>The audit codes at the activity-level role, jointly across the individual and team performer level; the v1.1 within-case extension flagged in §6 separates the two.</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§3.0). Procedure is not residual to the task; it constitutes the task.</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That this signature concentrates on three roles (procedure, calibration, accountability) — rather than dispersing — is the substantive finding the audit licenses. The three durable roles together discharge what the HRO literature (Weick &amp; Sutcliffe, 2007) describes as </w:t>
      </w:r>
      <w:r>
        <w:rPr>
          <w:i/>
        </w:rPr>
        <w:t>mindful organizing</w:t>
      </w:r>
      <w:r>
        <w:t>: preoccupation with failure (calibration), reluctance to simplify (provenance), sensitivity to operations (procedure), commitment to resilience and deference to expertise (accountability).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procedural-prose density (cases that write more about procedure register more procedural-robust codings; Williams, Hartman, &amp; Cavazotte, 2010).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w:t>
      </w:r>
    </w:p>
    <w:p>
      <w:r>
        <w:t xml:space="preserve">We label this cluster the </w:t>
      </w:r>
      <w:r>
        <w:rPr>
          <w:i/>
        </w:rPr>
        <w:t>epistemic-guardian signature</w:t>
      </w:r>
      <w:r>
        <w:t xml:space="preserve"> and define it operationally as a (case × three-H1-roles) profile in which all three roles carry a durable status. The 36-case repository codes at the case level and cannot adjudicate whether the lift reflects intrapersonal role-attachment (Ramarajan, 2014), team-composition capacity (Woolley et al., 2010), or coordination-architecture clustering (Puranam, Alexy, &amp; Reitzig,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that are consistent with mechanisms catalogued in the labor-economics literature on automation; the audit codes the realized shape and does not adjudicate among the underlying mechanisms. </w:t>
      </w:r>
      <w:r>
        <w:rPr>
          <w:i/>
        </w:rPr>
        <w:t>Deskilling</w:t>
      </w:r>
      <w:r>
        <w:t xml:space="preserve"> — the role's content is simplified and the skill demand on the human contracts — is consistent with Autor's (2015) routinization-pressure mechanism,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fits the Tornberg (2025) objective-coding pattern. </w:t>
      </w:r>
      <w:r>
        <w:rPr>
          <w:i/>
        </w:rPr>
        <w:t>Boundary redefinition</w:t>
      </w:r>
      <w:r>
        <w:t xml:space="preserve"> — the task cluster is excised from the human role altogether and the role narrows — is consistent with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routine first-pass screener as shrinking in 13 cases, routine coder on high-consensus ground-truth-rich tasks in 15, and structural prose polisher in 12 — 40 shrinking observations concentrated in 11 of 36 cases; 25 cases carry zero shrinking codings, the asymmetry §3 turns on. What unites these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clearing Ragin's (2008) 0.75 minimum but below the 0.90 strong-sufficiency threshold — and coverage is 0.500. The 0.500 coverage implies a second equifinal path: 9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~0.875 joint coverage; we report this as descriptive, not Boolean-minimized.</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Split pressure is therefore not a weakness in the typology but a configurational finding: in Furnari et al.'s (2021) vocabulary, split pressure operates as the </w:t>
      </w:r>
      <w:r>
        <w:rPr>
          <w:i/>
        </w:rPr>
        <w:t>scoping</w:t>
      </w:r>
      <w:r>
        <w:t xml:space="preserve"> heuristic and merge pressure as </w:t>
      </w:r>
      <w:r>
        <w:rPr>
          <w:i/>
        </w:rPr>
        <w:t>linking</w:t>
      </w:r>
      <w:r>
        <w:t>.</w:t>
      </w:r>
    </w:p>
    <w:p>
      <w:r>
        <w:t xml:space="preserve">Five cases (25 and 26 Project APE, 32 The AI Scientist, 33 Deep Research, 34 AgentSociety) describe research systems built around AI capability from the outset. The rubric's </w:t>
      </w:r>
      <w:r>
        <w:rPr>
          <w:i/>
        </w:rPr>
        <w:t>transformed</w:t>
      </w:r>
      <w:r>
        <w:t xml:space="preserve"> and </w:t>
      </w:r>
      <w:r>
        <w:rPr>
          <w:i/>
        </w:rPr>
        <w:t>shrinking</w:t>
      </w:r>
      <w:r>
        <w:t xml:space="preserve"> anchors are coded against a hypothetical pre-AI decomposition; the affected cells are tagged and a sensitivity analysis excluding these cases is reported in §6 (Table 4). For research configurations that were never assembled in a pre-AI form, the rubric codes a counterfactual decomposition rather than an observed transition (Orlikowski, 2007; Suchman, 2007); the rubric is appropriate as a </w:t>
      </w:r>
      <w:r>
        <w:rPr>
          <w:i/>
        </w:rPr>
        <w:t>separability-presupposing</w:t>
      </w:r>
      <w:r>
        <w:t xml:space="preserve"> audit instrument across the 36 cases and we do not claim it adjudicates fully co-constituted research systems.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w:t>
      </w:r>
      <w:r>
        <w:rPr>
          <w:b/>
        </w:rPr>
        <w:t>pooled Cohen's κ = 0.289, 95% bootstrap CI [0.147, 0.439]</w:t>
      </w:r>
      <w:r>
        <w:t xml:space="preserve"> (B = 2,000; seed 20260423); Krippendorff's α on the same data is 0.278 (7-cat) / 0.298 (8-cat). The result </w:t>
      </w:r>
      <w:r>
        <w:rPr>
          <w:b/>
        </w:rPr>
        <w:t>fails</w:t>
      </w:r>
      <w:r>
        <w:t xml:space="preserve">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§3.0 case prototypes amplifies the gap on transition-coded statuses; a human second-coder pass with calibration sessions on the §3.0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The v1.1 pre-analysis plan filed at OSF commits a CFA marker-variable test, a configural-invariance test with two human coders and ≥50 cases per family, and strengthened 1st-order quotation discipline.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(one role drops because its V is undefined on the 32-case subset;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case family (raw 0.58, adj. 0.58); (6) on AI capability (raw 0.33, adj. 0.66).</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Keohane, &amp; Verba,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cluster onto two aggregate dimensions that emerged from the audit rather than being imposed from prior theory (Gioia, Corley, &amp; Hamilton, 2013): an </w:t>
      </w:r>
      <w:r>
        <w:rPr>
          <w:i/>
        </w:rPr>
        <w:t>allocation</w:t>
      </w:r>
      <w:r>
        <w:t xml:space="preserve"> axis (robust → conditional → transformed → shrinking) tracking how human performance yields scope, content, then volume; and a </w:t>
      </w:r>
      <w:r>
        <w:rPr>
          <w:i/>
        </w:rPr>
        <w:t>specification</w:t>
      </w:r>
      <w:r>
        <w:t xml:space="preserve"> axis (split and merge pressure) revising the unit of analysis.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b/>
        </w:rPr>
        <w:t>P1</w:t>
      </w:r>
      <w:r>
        <w:t xml:space="preserve"> procedural roles co-occur as a single epistemic-guardian configuration; </w:t>
      </w:r>
      <w:r>
        <w:rPr>
          <w:b/>
        </w:rPr>
        <w:t>P2</w:t>
      </w:r>
      <w:r>
        <w:t xml:space="preserve"> shrinkage clusters where </w:t>
      </w:r>
      <w:r>
        <w:rPr>
          <w:i/>
        </w:rPr>
        <w:t>public-ground-truth</w:t>
      </w:r>
      <w:r>
        <w:t xml:space="preserve"> ∨ </w:t>
      </w:r>
      <w:r>
        <w:rPr>
          <w:i/>
        </w:rPr>
        <w:t>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w:t>
      </w:r>
    </w:p>
    <w:p>
      <w:r>
        <w:t xml:space="preserve">The rubric serves three audiences. </w:t>
      </w:r>
      <w:r>
        <w:rPr>
          <w:b/>
        </w:rPr>
        <w:t>Methods researchers</w:t>
      </w:r>
      <w:r>
        <w:t xml:space="preserve"> receive a role-first vocabulary and six behaviorally-anchored statuses applicable to a new case without consulting the underlying database. </w:t>
      </w:r>
      <w:r>
        <w:rPr>
          <w:b/>
        </w:rPr>
        <w:t>Reviewers and editors</w:t>
      </w:r>
      <w:r>
        <w:t xml:space="preserve"> receive an audit scaffold: the role × status table and the §3.0 exemplar index let them locate whether a manuscript's automation claims operate at the task-cluster layer (where shrinkage is defensible) or the role layer (where evidence in this repository does not support disappearance). </w:t>
      </w:r>
      <w:r>
        <w:rPr>
          <w:b/>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 xml:space="preserve">Three artifacts together constitute the contribution: (1) the v1.0 rubric — a behaviorally-anchored instrument for coding role-status change at the (role × case) cell level; (2) the released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rubric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contribution. We hope the rubric serves as a catalyst for instrument-grade audits of role-system change under AI embedding.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Merton, 1957. The role-set: Problems in sociological theory. [BG018]</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Williams, Hartman, and Cavazotte, 2010. Method variance and marker variables: A review and comprehensive CFA marker technique. *Organizational Research Methods*, 13(3), 477–514. [BG102]</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Eisenhardt and Graebner, 2007. Theory building from cases: Opportunities and challenges. *Academy of Management Journal*, 50(1), 25–32. [BG106]</w:t>
      </w:r>
    </w:p>
    <w:p>
      <w:pPr>
        <w:pStyle w:val="ListBullet"/>
      </w:pPr>
      <w:r>
        <w:t>Faraj and Pachidi, 2021. Beyond Uberization: The co-constitution of technology and organizing. *Organization Theory*, 2(1), 1–14. [BG108]</w:t>
      </w:r>
    </w:p>
    <w:p>
      <w:pPr>
        <w:pStyle w:val="ListBullet"/>
      </w:pPr>
      <w:r>
        <w:t>Feldman and Pentland, 2003. Reconceptualizing organizational routines as a source of flexibility and change. *Administrative Science Quarterly*, 48(1), 94–118. [BG113]</w:t>
      </w:r>
    </w:p>
    <w:p>
      <w:pPr>
        <w:pStyle w:val="ListBullet"/>
      </w:pPr>
      <w:r>
        <w:t>Pentland and Feldman, 2008. Designing routines: On the folly of designing artifacts while hoping for patterns of action. *Information and Organization*, 18(4), 235–250. [BG114]</w:t>
      </w:r>
    </w:p>
    <w:p>
      <w:pPr>
        <w:pStyle w:val="ListBullet"/>
      </w:pPr>
      <w:r>
        <w:t>Weick and Sutcliffe, 2007. *Managing the Unexpected: Resilient Performance in an Age of Uncertainty* (2nd ed.). Jossey-Bass. [BG115]</w:t>
      </w:r>
    </w:p>
    <w:p>
      <w:pPr>
        <w:pStyle w:val="ListBullet"/>
      </w:pPr>
      <w:r>
        <w:t>Pentland, 1999. Building process theory with narrative: From description to explanation. *Academy of Management Review*, 24(4), 711–724. [BG116]</w:t>
      </w:r>
    </w:p>
    <w:p>
      <w:pPr>
        <w:pStyle w:val="ListBullet"/>
      </w:pPr>
      <w:r>
        <w:t>Smith and Lewis, 2011. Toward a theory of paradox: A dynamic equilibrium model of organizing. *Academy of Management Review*, 36(2), 381–403. [BG117]</w:t>
      </w:r>
    </w:p>
    <w:p>
      <w:pPr>
        <w:pStyle w:val="ListBullet"/>
      </w:pPr>
      <w:r>
        <w:t>Lewis, 2000. Exploring paradox: Toward a more comprehensive guide. *Academy of Management Review*, 25(4), 760–776. [BG118]</w:t>
      </w:r>
    </w:p>
    <w:p>
      <w:pPr>
        <w:pStyle w:val="ListBullet"/>
      </w:pPr>
      <w:r>
        <w:t>DiMaggio and Powell, 1983. The iron cage revisited: Institutional isomorphism and collective rationality in organizational fields. *American Sociological Review*, 48(2), 147–160. [BG119]</w:t>
      </w:r>
    </w:p>
    <w:p>
      <w:pPr>
        <w:pStyle w:val="ListBullet"/>
      </w:pPr>
      <w:r>
        <w:t>Scott, 2014. *Institutions and Organizations: Ideas, Interests, and Identities* (4th ed.). Sage. [BG120]</w:t>
      </w:r>
    </w:p>
    <w:p>
      <w:pPr>
        <w:pStyle w:val="ListBullet"/>
      </w:pPr>
      <w:r>
        <w:t>Suchman (M.C.), 1995. Managing legitimacy: Strategic and institutional approaches. *Academy of Management Review*, 20(3), 571–610. [BG121]</w:t>
      </w:r>
    </w:p>
    <w:p>
      <w:pPr>
        <w:pStyle w:val="ListBullet"/>
      </w:pPr>
      <w:r>
        <w:t>Schatzki, 2002. *The Site of the Social: A Philosophical Account of the Constitution of Social Life and Change*. Pennsylvania State University Press. [BG122]</w:t>
      </w:r>
    </w:p>
    <w:p>
      <w:pPr>
        <w:pStyle w:val="ListBullet"/>
      </w:pPr>
      <w:r>
        <w:t>Nicolini, 2012. *Practice Theory, Work, and Organization: An Introduction*. Oxford University Press. [BG123]</w:t>
      </w:r>
    </w:p>
    <w:p>
      <w:pPr>
        <w:pStyle w:val="ListBullet"/>
      </w:pPr>
      <w:r>
        <w:t>Aldrich and Ruef, 2006. *Organizations Evolving* (2nd ed.). Sage. [BG124]</w:t>
      </w:r>
    </w:p>
    <w:p>
      <w:pPr>
        <w:pStyle w:val="ListBullet"/>
      </w:pPr>
      <w:r>
        <w:t>Hannan and Freeman, 1977. The population ecology of organizations. *American Journal of Sociology*, 82(5), 929–964. [BG125]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