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Behaviorally-Anchored Rubric for Coding Role-System Change Under AI Embedding: Comparative Typology Audit of 36 Cases</w:t>
      </w:r>
    </w:p>
    <w:p>
      <w:pPr>
        <w:pStyle w:val="Heading1"/>
      </w:pPr>
      <w:r>
        <w:t>Abstract</w:t>
      </w:r>
    </w:p>
    <w:p>
      <w:r>
        <w:t xml:space="preserve">Debate about AI in research is still often framed as a contest between humans and models. That framing is too coarse for the current evidence. </w:t>
      </w:r>
      <w:r>
        <w:rPr>
          <w:b/>
        </w:rPr>
        <w:t>We make three contributions.</w:t>
      </w:r>
      <w:r>
        <w:t xml:space="preserve"> </w:t>
      </w:r>
      <w:r>
        <w:rPr>
          <w:i/>
        </w:rPr>
        <w:t>First</w:t>
      </w:r>
      <w:r>
        <w:t xml:space="preserve">, we recast a source-backed repository of 36 AI-in-research cases as a role-system dataset, with 93 source rows, 144 evidence extracts, and 612 role × case codings traced to local full-text PDFs. </w:t>
      </w:r>
      <w:r>
        <w:rPr>
          <w:i/>
        </w:rPr>
        <w:t>Second</w:t>
      </w:r>
      <w:r>
        <w:t xml:space="preserve">, we develop a behaviorally-anchored rubric distinguishing six role statuses — robust, conditional, transformed, shrinking, split pressure, merge pressure — mutually exclusive within each (role × case) cell. </w:t>
      </w:r>
      <w:r>
        <w:rPr>
          <w:i/>
        </w:rPr>
        <w:t>Third</w:t>
      </w:r>
      <w:r>
        <w:t xml:space="preserve">, we apply the rubric to the 36 cases and report the resulting pattern: three procedural-validity roles (protocol-and-provenance architect, calibration architect, accountability-and-labor allocator) co-occur as a </w:t>
      </w:r>
      <w:r>
        <w:rPr>
          <w:i/>
        </w:rPr>
        <w:t>durable</w:t>
      </w:r>
      <w:r>
        <w:t xml:space="preserve"> configuration in 12 of 36 cases, 1.52× the count expected under marginal independence — the candidate </w:t>
      </w:r>
      <w:r>
        <w:rPr>
          <w:i/>
        </w:rPr>
        <w:t>epistemic-guardian</w:t>
      </w:r>
      <w:r>
        <w:t xml:space="preserve"> signature; three throughput clusters shrink in 40 observations (routine first-pass screening, high-consensus coding on ground-truth-rich tasks, structural prose polishing). H3 is supported as a cell-level association (</w:t>
      </w:r>
      <w:r>
        <w:rPr>
          <w:i/>
        </w:rPr>
        <w:t>p</w:t>
      </w:r>
      <w:r>
        <w:t xml:space="preserve"> = 0.0002) but does not reach significance under the clustering-aware case-level null at </w:t>
      </w:r>
      <w:r>
        <w:rPr>
          <w:i/>
        </w:rPr>
        <w:t>N</w:t>
      </w:r>
      <w:r>
        <w:t xml:space="preserve"> = 36 (</w:t>
      </w:r>
      <w:r>
        <w:rPr>
          <w:i/>
        </w:rPr>
        <w:t>p</w:t>
      </w:r>
      <w:r>
        <w:t xml:space="preserve"> = 0.58). Inter-coder agreement was below the pre-committed κ ≥ 0.60 threshold; v1.1 instruments (configural-invariance test, marker-variable CMV bound, human second-coder pass) are pre-committed. We offer this as a candidate framework with a v1.0 rubric and hope it serves as a catalyst for instrument-grade audits of role-system change under AI embedding.</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Before describing the audit, we clarify the rubric's paradigm location and the literatures it engages versus those it names as scope limits. The audit operates within the modernist measurement tradition of organizational research (Cronbach, Meehl, Messick, Borsboom). It engages the configurational-theorizing tradition (Fiss, Furnari, Misangyi), Krippendorff content analysis, Doty-Glick typology theory, the Feldman-Pentland routines literature on the ostensive aspect, and the Weick-Sutcliffe HRO literature on mindful organizing. We name as scope limits — not as engaged interlocutors — the paradox-theoretic, institutional-theory, Schatzki-Nicolini practice-theoretic, and evolutionary organizational-theory literatures, each of which would license a rival reading the v1.0 rubric does not adjudicate.</w:t>
      </w:r>
    </w:p>
    <w:p>
      <w:r>
        <w:t xml:space="preserve">A recurring framing problem in this literature is to ask whether "humans" or "AI" perform better — a framing that is sometimes appropriate but is too coarse for the role-level evidence base assembled here.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w:t>
      </w:r>
      <w:r>
        <w:rPr>
          <w:i/>
        </w:rPr>
        <w:t>robust</w:t>
      </w:r>
      <w:r>
        <w:t xml:space="preserve"> corresponds to settled human jurisdiction over an activity's diagnostic or legitimation function; </w:t>
      </w:r>
      <w:r>
        <w:rPr>
          <w:i/>
        </w:rPr>
        <w:t>conditional</w:t>
      </w:r>
      <w:r>
        <w:t xml:space="preserve"> to contested moderator-dependent jurisdiction; </w:t>
      </w:r>
      <w:r>
        <w:rPr>
          <w:i/>
        </w:rPr>
        <w:t>transformed</w:t>
      </w:r>
      <w:r>
        <w:t xml:space="preserve"> to jurisdictional content revision (humans retain the territory but redefine what is done within it); </w:t>
      </w:r>
      <w:r>
        <w:rPr>
          <w:i/>
        </w:rPr>
        <w:t>shrinking</w:t>
      </w:r>
      <w:r>
        <w:t xml:space="preserve"> to deskilling and task-cluster delegation; </w:t>
      </w:r>
      <w:r>
        <w:rPr>
          <w:i/>
        </w:rPr>
        <w:t>split pressure</w:t>
      </w:r>
      <w:r>
        <w:t xml:space="preserve"> to jurisdictional segmentation; </w:t>
      </w:r>
      <w:r>
        <w:rPr>
          <w:i/>
        </w:rPr>
        <w:t>merge pressure</w:t>
      </w:r>
      <w:r>
        <w:t xml:space="preserve"> to consolidation. The rubric's behavioral anchors are operationalizations of these mechanisms, not atheoretical labels. The rubric extends ORM's measurement-tradition lineage at a level that lineage has not yet covered; the paper does not claim a stand-alone theoretical contribution in the Whetten (1989) sense.</w:t>
      </w:r>
    </w:p>
    <w:p>
      <w:pPr>
        <w:pStyle w:val="Heading1"/>
      </w:pPr>
      <w:r>
        <w:t>2. Data and Design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Denyer, &amp; Smart, 2003; Siddaway, Wood, &amp; Hedges,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of every published case in the AI-in-research space.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seed strategy concentrates on AI-in-research projects that are visibly identified as such — methodological-venue search and forward/backward citation from anchor papers preferentially surface high-visibility cases — and we acknowledge a </w:t>
      </w:r>
      <w:r>
        <w:rPr>
          <w:i/>
        </w:rPr>
        <w:t>visibility-bias</w:t>
      </w:r>
      <w:r>
        <w:t xml:space="preserve"> limitation that operates at the case-selection layer separately from publication bias on individual cases (Bail, 2024); null-result and quietly-deployed AI-in-research projects are systematically under-represented. The 36 cases sample from a larger population of attempted AI-in-research workflows whose population boundary the rubric does not name; an evolutionary reading (Aldrich &amp; Ruef, 2006; Hannan &amp; Freeman, 1977) treats publication as a non-random selection mechanism and the durable-roles signature as partly the selection-survivorship residue. The recording unit for coding is the (role × case) cell, the context unit is the full case file plus its registered secondary sources, and the encounter sequence directs the coder to read the case's abstract and methods before encountering the evidence extracts (Krippendorff, 2011; Hruschka et al., 2004).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Role-status assignment is a form of content analysis (Krippendorff's tradition; see Stemler, 2001; Duriau, Reger, &amp; Pfarrer, 2007 for organizational content-analysis practice; Hruschka et al., 2004 on coding open-ended data with explicit reliability protocols).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Mellenbergh, &amp; van Heerden, 2004), where validity is a property of inferences rather than of the instrument alone. The mutability of the typology — its capacity to admit split and merge pressure — follows the typology-as-theory-building tradition: typologies in organization research are productive when they are revisable under empirical pressure, not when they are fixed (Doty &amp; Glick, 1994; Fiss, 2011; Delbridge &amp; Fiss, 2013; Cornelissen, 2017; Cornelissen, Höllerer, &amp; Seidl, 2021). The rubric performs configurational theorizing in the sense developed by Furnari et al. (2021): the typology's mutability operationalizes their </w:t>
      </w:r>
      <w:r>
        <w:rPr>
          <w:i/>
        </w:rPr>
        <w:t>scoping</w:t>
      </w:r>
      <w:r>
        <w:t xml:space="preserve">, </w:t>
      </w:r>
      <w:r>
        <w:rPr>
          <w:i/>
        </w:rPr>
        <w:t>linking</w:t>
      </w:r>
      <w:r>
        <w:t xml:space="preserve">, and </w:t>
      </w:r>
      <w:r>
        <w:rPr>
          <w:i/>
        </w:rPr>
        <w:t>naming</w:t>
      </w:r>
      <w:r>
        <w:t xml:space="preserve"> heuristics. The four v0.1 base statuses were not a priori categories: </w:t>
      </w:r>
      <w:r>
        <w:rPr>
          <w:i/>
        </w:rPr>
        <w:t>robust</w:t>
      </w:r>
      <w:r>
        <w:t xml:space="preserve"> and </w:t>
      </w:r>
      <w:r>
        <w:rPr>
          <w:i/>
        </w:rPr>
        <w:t>shrinking</w:t>
      </w:r>
      <w:r>
        <w:t xml:space="preserve"> surfaced in the first read-through of Cases 1–2 as the polar anchors the case-text language itself supplied; </w:t>
      </w:r>
      <w:r>
        <w:rPr>
          <w:i/>
        </w:rPr>
        <w:t>conditional</w:t>
      </w:r>
      <w:r>
        <w:t xml:space="preserve"> and </w:t>
      </w:r>
      <w:r>
        <w:rPr>
          <w:i/>
        </w:rPr>
        <w:t>transformed</w:t>
      </w:r>
      <w:r>
        <w:t xml:space="preserve"> were filled in by constant comparison across the next six cases. The rubric grew across four versions: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v0.4 tightened the conditional-vs-transformed tie-breaker.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t xml:space="preserve">The audit's load-bearing tradition is </w:t>
      </w:r>
      <w:r>
        <w:rPr>
          <w:i/>
        </w:rPr>
        <w:t>content analysis in the Krippendorff sense</w:t>
      </w:r>
      <w:r>
        <w:t xml:space="preserve">, augmented by case-based theorizing (Eisenhardt, 1989) and typology-as-theory-building (Doty &amp; Glick, 1994). The </w:t>
      </w:r>
      <w:r>
        <w:rPr>
          <w:i/>
        </w:rPr>
        <w:t>transformed</w:t>
      </w:r>
      <w:r>
        <w:t xml:space="preserve"> anchor's before/after language is scope-conditioned to author-stated retrospective verb-swap or new-sub-task language quotable from the case file, not to observed longitudinal transition.</w:t>
      </w:r>
    </w:p>
    <w:p>
      <w:r>
        <w:rPr>
          <w:b/>
        </w:rPr>
        <w:t>Construct form.</w:t>
      </w:r>
      <w:r>
        <w:t xml:space="preserve"> 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V values in §6 are read against the 259-cell observable-and-coded denominator. The anchor-status relationship is </w:t>
      </w:r>
      <w:r>
        <w:rPr>
          <w:i/>
        </w:rPr>
        <w:t>formative</w:t>
      </w:r>
      <w:r>
        <w:t xml:space="preserve"> (Edwards &amp; Bagozzi, 2000): anchors constitute the status by definition. The rubric codes the </w:t>
      </w:r>
      <w:r>
        <w:rPr>
          <w:i/>
        </w:rPr>
        <w:t>ostensive</w:t>
      </w:r>
      <w:r>
        <w:t xml:space="preserve"> aspect of role behavior in the Feldman &amp; Pentland (2003) sense — the abstract pattern as case authors describe it — not the </w:t>
      </w:r>
      <w:r>
        <w:rPr>
          <w:i/>
        </w:rPr>
        <w:t>performative</w:t>
      </w:r>
      <w:r>
        <w:t xml:space="preserve"> aspect; the κ failure on </w:t>
      </w:r>
      <w:r>
        <w:rPr>
          <w:i/>
        </w:rPr>
        <w:t>conditional</w:t>
      </w:r>
      <w:r>
        <w:t xml:space="preserve"> and </w:t>
      </w:r>
      <w:r>
        <w:rPr>
          <w:i/>
        </w:rPr>
        <w:t>transformed</w:t>
      </w:r>
      <w:r>
        <w:t xml:space="preserve"> (§6) is partly diagnostic of that scope.</w:t>
      </w:r>
    </w:p>
    <w:p>
      <w:r>
        <w:rPr>
          <w:b/>
        </w:rPr>
        <w:t>Scope conditions.</w:t>
      </w:r>
      <w:r>
        <w:t xml:space="preserve"> 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 industry-internal or quietly-deployed AI-in-research workflows (the visibility-bias caveat above bites here); (ii) pre-2024 cases where the </w:t>
      </w:r>
      <w:r>
        <w:rPr>
          <w:i/>
        </w:rPr>
        <w:t>transformed</w:t>
      </w:r>
      <w:r>
        <w:t xml:space="preserve"> anchor would be coded against an unobserved baseline; (iii) substantive subfields outside the eight case-family clusters represented (e.g., bench biology, formal economics) where role-system structure may differ. Generalization beyond these scope conditions is empirically open, not assumed. (The 2024–2026 capability window in (ii) refers to the AI-capability landscape against which the rubric was calibrated; the seed window includes 2023 cases for completeness, with the </w:t>
      </w:r>
      <w:r>
        <w:rPr>
          <w:i/>
        </w:rPr>
        <w:t>transformed</w:t>
      </w:r>
      <w:r>
        <w:t xml:space="preserve"> anchor's before/after coding scope-conditioned to author-stated retrospective language quotable from the case file.) Exclusion (i) is theoretically derived; (ii) and (iii) are empirically observed; (iv) the rubric was developed on cases from a delimited set of occupational communities, and cross-occupation aggregation presupposes occupational invariance the audit has not established (the v1.1 occupational-coding extension is the appropriate instrument).</w:t>
      </w:r>
    </w:p>
    <w:p>
      <w:r>
        <w:t>The four-case pilot also served as coder-development: the first coder re-coded Cases 1 and 2 under v0.4 to verify earlier codings remained stable; full-corpus stability is a v1.2 commitment.</w:t>
      </w:r>
    </w:p>
    <w:p>
      <w:r>
        <w:t>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w:t>
      </w:r>
    </w:p>
    <w:p>
      <w:r>
        <w:t>The audit codes at the activity-level role, jointly across the individual and team performer level; the v1.1 within-case extension flagged in §6 separates the two.</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We label these exemplars </w:t>
      </w:r>
      <w:r>
        <w:rPr>
          <w:i/>
        </w:rPr>
        <w:t>prototypes</w:t>
      </w:r>
      <w:r>
        <w:t xml:space="preserve"> in the Lord, Foti, and DeVader (1984) sense rather than only as illustrative cases: each was the cognitive referent against which subsequent codings of that status were prototype-matched. A second coder lacking access to these prototypes will have to reconstruct them from the anchors alone, and the per-status κ failure on </w:t>
      </w:r>
      <w:r>
        <w:rPr>
          <w:i/>
        </w:rPr>
        <w:t>conditional</w:t>
      </w:r>
      <w:r>
        <w:t xml:space="preserve"> and </w:t>
      </w:r>
      <w:r>
        <w:rPr>
          <w:i/>
        </w:rPr>
        <w:t>transformed</w:t>
      </w:r>
      <w:r>
        <w:t xml:space="preserve"> (§6) is partly diagnostic of that prototype-reconstruction failure.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Piekkari, Plakoyiannaki, &amp; Paavilainen-Mäntymäki,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Tornberg,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The clearest durable pattern is procedural. Protocol and provenance architect is robust in 15 cases, conditional in 5, and transformed in 7 — 27 cases in robust, conditional, or transformed status and zero shrinking, with 5 further cases registering split or merge pressure. The same mixed profile recurs for accountability and labor allocator (5 robust, 8 conditional, 7 transformed): </w:t>
      </w:r>
      <w:r>
        <w:rPr>
          <w:i/>
        </w:rPr>
        <w:t>transformed</w:t>
      </w:r>
      <w:r>
        <w:t xml:space="preserve"> is a common landing point for roles that redefine rather than abandon procedural work. The codebook has to turn broad political ideas into operational constructs, define edge cases, and make error analysis methodologically legible (Keith, 2026; see §3.0). Procedure is not residual to the task; it constitutes the task.</w:t>
      </w:r>
    </w:p>
    <w:p>
      <w:r>
        <w:t xml:space="preserve">We adopt a </w:t>
      </w:r>
      <w:r>
        <w:rPr>
          <w:i/>
        </w:rPr>
        <w:t>constitutive</w:t>
      </w:r>
      <w:r>
        <w:t xml:space="preserve"> reading of the durable-roles pattern: procedural roles are individuated by the rubric's anchors as the role-cells whose performance case authors treat as load-bearing for inferential validity. That this signature concentrates on three roles (procedure, calibration, accountability) — rather than dispersing — is the substantive finding the audit licenses. The three durable roles together discharge what the HRO literature (Weick &amp; Sutcliffe, 2007) describes as </w:t>
      </w:r>
      <w:r>
        <w:rPr>
          <w:i/>
        </w:rPr>
        <w:t>mindful organizing</w:t>
      </w:r>
      <w:r>
        <w:t>: preoccupation with failure (calibration), reluctance to simplify (provenance), sensitivity to operations (procedure), commitment to resilience and deference to expertise (accountability). Codebook-equivalents — Keith's construct definitions, Baccolini's inclusion rules, Larson's calibration benchmark —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is </w:t>
      </w:r>
      <w:r>
        <w:rPr>
          <w:rFonts w:ascii="Consolas" w:hAnsi="Consolas"/>
          <w:sz w:val="21"/>
        </w:rPr>
        <w:t>durable | durable | durable</w:t>
      </w:r>
      <w:r>
        <w:t xml:space="preserve">, occurring in 12 of 36 cases. A further 12 cases carry durable on two of the three (typically protocol + accountability, with calibration </w:t>
      </w:r>
      <w:r>
        <w:rPr>
          <w:rFonts w:ascii="Consolas" w:hAnsi="Consolas"/>
          <w:sz w:val="21"/>
        </w:rPr>
        <w:t>not_applicable</w:t>
      </w:r>
      <w:r>
        <w:t xml:space="preserve">); only two cases carry pressure-status on all three. Marginal P(durable) on the three H1 roles is 0.750, 0.528, and 0.556 across the 36 cases; under marginal independence the expected count of all-three-durable cases is 7.92, and the observed 12 is 1.52× expected. The triple co-occurrence is a real configurational signal, not a sum of marginal coincidences. The lift is descriptive within-sample: it is conditioned on the visibility filter (publishable workflows over-represent durable procedure) and on procedural-prose density (cases that write more about procedure register more procedural-robust codings; Williams, Hartman, &amp; Cavazotte, 2010). The durable-status collapse (robust + conditional + transformed) absorbs the per-status disagreement on </w:t>
      </w:r>
      <w:r>
        <w:rPr>
          <w:i/>
        </w:rPr>
        <w:t>conditional</w:t>
      </w:r>
      <w:r>
        <w:t xml:space="preserve"> and </w:t>
      </w:r>
      <w:r>
        <w:rPr>
          <w:i/>
        </w:rPr>
        <w:t>transformed</w:t>
      </w:r>
      <w:r>
        <w:t xml:space="preserve"> that §6 documents, so the 12-of-36 lift survives even when the individual transition-coded anchors do not.</w:t>
      </w:r>
    </w:p>
    <w:p>
      <w:r>
        <w:t xml:space="preserve">We label this cluster the </w:t>
      </w:r>
      <w:r>
        <w:rPr>
          <w:i/>
        </w:rPr>
        <w:t>candidate epistemic-guardian signature</w:t>
      </w:r>
      <w:r>
        <w:t xml:space="preserve"> (v1.0) and define it operationally as a (case × three-H1-roles) profile in which all three roles carry a durable status; the qualifier reflects that the signature awaits the v1.1 within-case extension. The 36-case repository codes at the case level and cannot adjudicate whether the lift reflects intrapersonal role-attachment (Ramarajan, 2014), team-composition capacity (Woolley et al., 2010), or coordination-architecture clustering (Puranam, Alexy, &amp; Reitzig, 2014); the v1.1 within-case extension that codes who-performs-the-role-cell is the appropriate test.</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Shrinkage in this repository has three distinct jurisdictional shapes that are consistent with mechanisms catalogued in the labor-economics literature on automation; the audit codes the realized shape and does not adjudicate among the underlying mechanisms. </w:t>
      </w:r>
      <w:r>
        <w:rPr>
          <w:i/>
        </w:rPr>
        <w:t>Deskilling</w:t>
      </w:r>
      <w:r>
        <w:t xml:space="preserve"> — the role's content is simplified and the skill demand on the human contracts — is consistent with Autor's (2015) routinization-pressure mechanism, and fits the Bleier (n.d.) reproducibility-repair pattern. </w:t>
      </w:r>
      <w:r>
        <w:rPr>
          <w:i/>
        </w:rPr>
        <w:t>Delegation</w:t>
      </w:r>
      <w:r>
        <w:t xml:space="preserve"> — the task is reassigned to a non-human performer with humans retained for exception handling — is consistent with the substitution mechanism Frey and Osborne (2017) catalogue across occupational tasks, and fits the Tornberg (2025) objective-coding pattern. </w:t>
      </w:r>
      <w:r>
        <w:rPr>
          <w:i/>
        </w:rPr>
        <w:t>Boundary redefinition</w:t>
      </w:r>
      <w:r>
        <w:t xml:space="preserve"> — the task cluster is excised from the human role altogether and the role narrows — is consistent with task-level automation reshaping occupational composition (Brynjolfsson &amp; Mitchell, 2017), and the structural-prose-polishing pattern (Yin, n.d.; Cox, n.d.) is its role-level analog. The shapes are not deterministic outcomes of AI capability: they are </w:t>
      </w:r>
      <w:r>
        <w:rPr>
          <w:i/>
        </w:rPr>
        <w:t>occasions</w:t>
      </w:r>
      <w:r>
        <w:t xml:space="preserve"> for structuring whose realized form is shaped by the occupational community into which the workflow lands (Barley, 1986). Each shape also implies a different configuration of the AI as an organizational member — primary performer, embedded tool, partial member — and the typology's value to an organization designing an AI-embedded research workflow is that it diagnoses which configuration is in play (Puranam, 2021). The "routine" descriptor here refers to </w:t>
      </w:r>
      <w:r>
        <w:rPr>
          <w:i/>
        </w:rPr>
        <w:t>high-consensus repeatable throughput</w:t>
      </w:r>
      <w:r>
        <w:t xml:space="preserve"> (Autor, 2015), not to </w:t>
      </w:r>
      <w:r>
        <w:rPr>
          <w:i/>
        </w:rPr>
        <w:t>organizational routines</w:t>
      </w:r>
      <w:r>
        <w:t xml:space="preserve"> in the Feldman &amp; Pentland (2003) sense.</w:t>
      </w:r>
    </w:p>
    <w:p>
      <w:r>
        <w:t xml:space="preserve">The shrinkage story is real but narrower than public discourse suggests. The database records routine first-pass screener as shrinking in 13 cases, routine coder on high-consensus ground-truth-rich tasks in 15, and structural prose polisher in 12 — 40 shrinking observations concentrated in 11 of 36 cases; 25 cases carry zero shrinking codings, the asymmetry §3 turns on. What unites these clusters is the joint presence of routinized output, clean evaluation, and low discretion about admissible procedure. Operating on a case-family proxy for public ground truth (Measurement &amp; coding, Evidence synthesis &amp; corpus, Reproducibility &amp; autonomous research), the consistency score for (ground-truth-rich → has-shrinking) is 0.857 — clearing Ragin's (2008) 0.75 minimum but below the 0.90 strong-sufficiency threshold — and coverage is 0.500. The 0.500 coverage implies a second equifinal path: 9 of the 12 shrinking cases outside ground-truth-rich families concentrate in structural prose polishing where the task has </w:t>
      </w:r>
      <w:r>
        <w:rPr>
          <w:i/>
        </w:rPr>
        <w:t>clean post-hoc auditability</w:t>
      </w:r>
      <w:r>
        <w:t xml:space="preserve"> (draft vs. published prose) rather than public ground truth. The two-path reading </w:t>
      </w:r>
      <w:r>
        <w:rPr>
          <w:i/>
        </w:rPr>
        <w:t>ground-truth-rich</w:t>
      </w:r>
      <w:r>
        <w:t xml:space="preserve"> ∨ </w:t>
      </w:r>
      <w:r>
        <w:rPr>
          <w:i/>
        </w:rPr>
        <w:t>clean-post-hoc-auditability</w:t>
      </w:r>
      <w:r>
        <w:t xml:space="preserve"> → </w:t>
      </w:r>
      <w:r>
        <w:rPr>
          <w:i/>
        </w:rPr>
        <w:t>has-shrinking</w:t>
      </w:r>
      <w:r>
        <w:t xml:space="preserve"> recovers ~0.875 joint coverage; we report this as descriptive, not Boolean-minimized.</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used as testbeds for survey, interview, and intervention questions, calibration and transportability can no longer be the same human role (Li, n.d.). Split pressure is therefore not a weakness in the typology but a configurational finding: in Furnari et al.'s (2021) vocabulary, split pressure operates as the </w:t>
      </w:r>
      <w:r>
        <w:rPr>
          <w:i/>
        </w:rPr>
        <w:t>scoping</w:t>
      </w:r>
      <w:r>
        <w:t xml:space="preserve"> heuristic and merge pressure as </w:t>
      </w:r>
      <w:r>
        <w:rPr>
          <w:i/>
        </w:rPr>
        <w:t>linking</w:t>
      </w:r>
      <w:r>
        <w:t>.</w:t>
      </w:r>
    </w:p>
    <w:p>
      <w:r>
        <w:t xml:space="preserve">Five cases (25 and 26 Project APE, 32 The AI Scientist, 33 Deep Research, 34 AgentSociety) describe research systems built around AI capability from the outset. The rubric's </w:t>
      </w:r>
      <w:r>
        <w:rPr>
          <w:i/>
        </w:rPr>
        <w:t>transformed</w:t>
      </w:r>
      <w:r>
        <w:t xml:space="preserve"> and </w:t>
      </w:r>
      <w:r>
        <w:rPr>
          <w:i/>
        </w:rPr>
        <w:t>shrinking</w:t>
      </w:r>
      <w:r>
        <w:t xml:space="preserve"> anchors are coded against a hypothetical pre-AI decomposition; the affected cells are tagged and a sensitivity analysis excluding these cases is reported in §6 (Table 4). For research configurations that were never assembled in a pre-AI form, the rubric codes a counterfactual decomposition rather than an observed transition (Orlikowski, 2007; Suchman, 2007); the rubric is appropriate as a </w:t>
      </w:r>
      <w:r>
        <w:rPr>
          <w:i/>
        </w:rPr>
        <w:t>separability-presupposing</w:t>
      </w:r>
      <w:r>
        <w:t xml:space="preserve"> audit instrument across the 36 cases and we do not claim it adjudicates fully co-constituted research systems.</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V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V CIs (B = 2,000, seed 20260425), per-role paired Wilcoxon </w:t>
      </w:r>
      <w:r>
        <w:rPr>
          <w:i/>
        </w:rPr>
        <w:t>W</w:t>
      </w:r>
      <w:r>
        <w:t xml:space="preserve"> = 7 / </w:t>
      </w:r>
      <w:r>
        <w:rPr>
          <w:i/>
        </w:rPr>
        <w:t>p</w:t>
      </w:r>
      <w:r>
        <w:t xml:space="preserve"> = 0.0006 and the sign-test companion </w:t>
      </w:r>
      <w:r>
        <w:rPr>
          <w:i/>
        </w:rPr>
        <w:t>p</w:t>
      </w:r>
      <w:r>
        <w:t xml:space="preserve"> = 0.004, V_family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 CI [0.147, 0.439] (B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 xml:space="preserve">The H3 verdict rests on the pre-specified per-role paired sign test across 16 roles with defined V (14 of 16 positive, </w:t>
      </w:r>
      <w:r>
        <w:rPr>
          <w:i/>
        </w:rPr>
        <w:t>p</w:t>
      </w:r>
      <w:r>
        <w:t xml:space="preserve"> = 0.004), with the paired Wilcoxon (</w:t>
      </w:r>
      <w:r>
        <w:rPr>
          <w:i/>
        </w:rPr>
        <w:t>W</w:t>
      </w:r>
      <w:r>
        <w:t xml:space="preserve"> = 7, </w:t>
      </w:r>
      <w:r>
        <w:rPr>
          <w:i/>
        </w:rPr>
        <w:t>p</w:t>
      </w:r>
      <w:r>
        <w:t xml:space="preserve"> = 0.0006) reported alongside as the magnitude-sensitive companion; the cell-level Monte-Carlo on case family (</w:t>
      </w:r>
      <w:r>
        <w:rPr>
          <w:i/>
        </w:rPr>
        <w:t>p</w:t>
      </w:r>
      <w:r>
        <w:t xml:space="preserve"> = 0.0002) survives Holm correction, the case-level Monte-Carlo under the clustering-aware null does not (</w:t>
      </w:r>
      <w:r>
        <w:rPr>
          <w:i/>
        </w:rPr>
        <w:t>p</w:t>
      </w:r>
      <w:r>
        <w:t xml:space="preserve"> = 0.58). H3 is therefore supported as a cell-level pattern but is not significant under the case-level null at N = 36 cases;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t xml:space="preserve">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w:t>
      </w:r>
      <w:r>
        <w:rPr>
          <w:b/>
        </w:rPr>
        <w:t>pooled Cohen's κ = 0.289, 95% bootstrap CI [0.147, 0.439]</w:t>
      </w:r>
      <w:r>
        <w:t xml:space="preserve"> (B = 2,000; seed 20260423); Krippendorff's α on the same data is 0.278 (7-cat) / 0.298 (8-cat). The result </w:t>
      </w:r>
      <w:r>
        <w:rPr>
          <w:b/>
        </w:rPr>
        <w:t>fails</w:t>
      </w:r>
      <w:r>
        <w:t xml:space="preserve">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 the two failing anchors are configurationally non-invariant across case families (Vandenberg &amp; Lance, 2000), and </w:t>
      </w:r>
      <w:r>
        <w:rPr>
          <w:i/>
        </w:rPr>
        <w:t>conditional</w:t>
      </w:r>
      <w:r>
        <w:t xml:space="preserve"> and </w:t>
      </w:r>
      <w:r>
        <w:rPr>
          <w:i/>
        </w:rPr>
        <w:t>transformed</w:t>
      </w:r>
      <w:r>
        <w:t xml:space="preserve"> describe role </w:t>
      </w:r>
      <w:r>
        <w:rPr>
          <w:i/>
        </w:rPr>
        <w:t>transitions</w:t>
      </w:r>
      <w:r>
        <w:t xml:space="preserve"> whose observable features differ across families (Ramarajan, 2014). The LLM agent's lack of access to the §3.0 case prototypes amplifies the gap on transition-coded statuses; a human second-coder pass with calibration sessions on the §3.0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the tie-breaker now requires an explicit moderator variable for </w:t>
      </w:r>
      <w:r>
        <w:rPr>
          <w:i/>
        </w:rPr>
        <w:t>conditional</w:t>
      </w:r>
      <w:r>
        <w:t xml:space="preserve"> or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A two-extreme bracket on the operationally undifferentiated </w:t>
      </w:r>
      <w:r>
        <w:rPr>
          <w:i/>
        </w:rPr>
        <w:t>conditional</w:t>
      </w:r>
      <w:r>
        <w:t xml:space="preserve"> status (92 of 612 rows) — reassigning all 92 to </w:t>
      </w:r>
      <w:r>
        <w:rPr>
          <w:i/>
        </w:rPr>
        <w:t>robust</w:t>
      </w:r>
      <w:r>
        <w:t xml:space="preserve"> (extreme A) or to </w:t>
      </w:r>
      <w:r>
        <w:rPr>
          <w:i/>
        </w:rPr>
        <w:t>transformed</w:t>
      </w:r>
      <w:r>
        <w:t xml:space="preserve"> (extreme B) — yields sign-test </w:t>
      </w:r>
      <w:r>
        <w:rPr>
          <w:i/>
        </w:rPr>
        <w:t>p</w:t>
      </w:r>
      <w:r>
        <w:t xml:space="preserve"> = 0.004 (A) or 0.021 (B): the verdict is robust to either prior. The v1.1 pre-analysis plan filed at OSF commits a CFA marker-variable test, a configural-invariance test with two human coders and ≥50 cases per family, and strengthened 1st-order quotation discipline.</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(one role drops because its V is undefined on the 32-case subset;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t>
      </w:r>
      <w:r>
        <w:rPr>
          <w:i/>
        </w:rPr>
        <w:t>p</w:t>
      </w:r>
      <w:r>
        <w:t xml:space="preserve"> = 0.004 on 14 of 16 positive differences); the paired Wilcoxon on the same 16 differences yields </w:t>
      </w:r>
      <w:r>
        <w:rPr>
          <w:i/>
        </w:rPr>
        <w:t>W</w:t>
      </w:r>
      <w:r>
        <w:t xml:space="preserve"> = 7, </w:t>
      </w:r>
      <w:r>
        <w:rPr>
          <w:i/>
        </w:rPr>
        <w:t>p</w:t>
      </w:r>
      <w:r>
        <w:t xml:space="preserve"> = 0.0006. χ² on status × case-family is 87.67 (df=35, </w:t>
      </w:r>
      <w:r>
        <w:rPr>
          <w:i/>
        </w:rPr>
        <w:t>p</w:t>
      </w:r>
      <w:r>
        <w:t xml:space="preserve"> &lt; 10⁻⁵, V = 0.260); on status × AI capability, χ² = 29.80 (df=10, </w:t>
      </w:r>
      <w:r>
        <w:rPr>
          <w:i/>
        </w:rPr>
        <w:t>p</w:t>
      </w:r>
      <w:r>
        <w:t xml:space="preserve"> &lt; 10⁻³, V = 0.240).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b/>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b/>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b/>
        </w:rPr>
        <w:t>case-cluster bootstrap</w:t>
      </w:r>
      <w:r>
        <w:t xml:space="preserve"> (B = 2,000, seed 20260425, resampling cases with replacement), which yields V_family 95 % CI [0.261, 0.430], V_capability 95 % CI [0.193, 0.451], and V_gap 95 % CI [−0.096, 0.156] with P(gap &gt; 0) = 0.69;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xml:space="preserve"> with running-max monotonicity enforcement) leaves the four cell-level tests significant: (1) cell-level Monte-Carlo on case family (raw </w:t>
      </w:r>
      <w:r>
        <w:rPr>
          <w:i/>
        </w:rPr>
        <w:t>p</w:t>
      </w:r>
      <w:r>
        <w:t xml:space="preserve"> = 0.0002, adj. 0.0012); (2) per-role Wilcoxon (raw 0.0006, adj. 0.003); (3) cell-level Monte-Carlo on AI capability (raw 0.0012, adj. 0.005); (4) per-role paired sign test (raw 0.004, adj. 0.013). Both case-level Monte-Carlos do not survive: (5) on AI capability (raw 0.33, adj. 0.66); (6) on case family (raw 0.58, adj. 0.66).</w:t>
      </w:r>
    </w:p>
    <w:p>
      <w:r>
        <w:t xml:space="preserve">H3 is therefore </w:t>
      </w:r>
      <w:r>
        <w:rPr>
          <w:b/>
        </w:rPr>
        <w:t>supported as a cell-level repository pattern but not significant under the clustering-aware case-level null at N = 36 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Framed this way, the audit's claims are within-sample associations at N = 36, not population-level effect estimates or causal claims; the §7 prescriptive recommendations are normative inferences from the descriptive pattern, and the 2027 hold-out, the v1.1 within-case extension, the configural-invariance test, and a stranger-coder replication are the appropriate next instruments (King, Keohane, &amp; Verba,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Once the cases are aligned as a role-system dataset, the most interesting question is no longer whether AI can "do research" but which roles remain constitutive of </w:t>
      </w:r>
      <w:r>
        <w:rPr>
          <w:i/>
        </w:rPr>
        <w:t>epistemic validity</w:t>
      </w:r>
      <w:r>
        <w:t xml:space="preserve"> — the warrantability of a study's inferential claims — under generative, predictive, and agentic support. Roles tied to meaning, admissible procedure, calibration, provenance, and accountability are more durable than routine throughput clusters; some tasks shrink where evaluation is clean; some roles transform around authorship, disclosure, and labor allocation; and some inherited categories are no longer precise enough.</w:t>
      </w:r>
    </w:p>
    <w:p>
      <w:r>
        <w:t xml:space="preserve">The six statuses cluster onto two aggregate dimensions that emerged from the audit rather than being imposed from prior theory (Gioia, Corley, &amp; Hamilton, 2013): an </w:t>
      </w:r>
      <w:r>
        <w:rPr>
          <w:i/>
        </w:rPr>
        <w:t>allocation</w:t>
      </w:r>
      <w:r>
        <w:t xml:space="preserve"> axis (robust → conditional → transformed → shrinking) tracking how human performance yields scope, content, then volume; and a </w:t>
      </w:r>
      <w:r>
        <w:rPr>
          <w:i/>
        </w:rPr>
        <w:t>specification</w:t>
      </w:r>
      <w:r>
        <w:t xml:space="preserve"> axis (split and merge pressure) revising the unit of analysis. The two-axis structure was not visible at v0.1; it surfaced after Case 10's merge-pressure coding made it impossible to read split and merge as further points on the allocation axis. The typology is six rather than four because reconfiguration and reallocation are independent forms of jurisdictional revision (Abbott, 1988; Freidson, 2001).</w:t>
      </w:r>
    </w:p>
    <w:p>
      <w:r>
        <w:t xml:space="preserve">The two-axis framing yields three forward-looking propositions for the pre-specified 2027 hold-out (target </w:t>
      </w:r>
      <w:r>
        <w:rPr>
          <w:i/>
        </w:rPr>
        <w:t>N</w:t>
      </w:r>
      <w:r>
        <w:t xml:space="preserve"> = 60; analysis script </w:t>
      </w:r>
      <w:r>
        <w:rPr>
          <w:rFonts w:ascii="Consolas" w:hAnsi="Consolas"/>
          <w:sz w:val="21"/>
        </w:rPr>
        <w:t>scripts/section7_2027_holdout.py</w:t>
      </w:r>
      <w:r>
        <w:t xml:space="preserve"> filed at the release tag): </w:t>
      </w:r>
      <w:r>
        <w:rPr>
          <w:b/>
        </w:rPr>
        <w:t>P1</w:t>
      </w:r>
      <w:r>
        <w:t xml:space="preserve"> procedural roles co-occur as a single epistemic-guardian configuration; </w:t>
      </w:r>
      <w:r>
        <w:rPr>
          <w:b/>
        </w:rPr>
        <w:t>P2</w:t>
      </w:r>
      <w:r>
        <w:t xml:space="preserve"> shrinkage clusters where </w:t>
      </w:r>
      <w:r>
        <w:rPr>
          <w:i/>
        </w:rPr>
        <w:t>public-ground-truth</w:t>
      </w:r>
      <w:r>
        <w:t xml:space="preserve"> ∨ </w:t>
      </w:r>
      <w:r>
        <w:rPr>
          <w:i/>
        </w:rPr>
        <w:t>post-hoc-auditability</w:t>
      </w:r>
      <w:r>
        <w:t xml:space="preserve"> holds, not where AI capability is highest; </w:t>
      </w:r>
      <w:r>
        <w:rPr>
          <w:b/>
        </w:rPr>
        <w:t>P3</w:t>
      </w:r>
      <w:r>
        <w:t xml:space="preserve"> as agentic autonomy rises, protocol-and-provenance and accountability-and-labor undergo merge pressure rather than independent transformation.</w:t>
      </w:r>
    </w:p>
    <w:p>
      <w:r>
        <w:t xml:space="preserve">The rubric serves three audiences. </w:t>
      </w:r>
      <w:r>
        <w:rPr>
          <w:b/>
        </w:rPr>
        <w:t>Methods researchers</w:t>
      </w:r>
      <w:r>
        <w:t xml:space="preserve"> receive a role-first vocabulary and six behaviorally-anchored statuses applicable to a new case without consulting the underlying database. </w:t>
      </w:r>
      <w:r>
        <w:rPr>
          <w:b/>
        </w:rPr>
        <w:t>Reviewers and editors</w:t>
      </w:r>
      <w:r>
        <w:t xml:space="preserve"> receive an audit scaffold: the role × status table and the §3.0 exemplar index let them locate whether a manuscript's automation claims operate at the task-cluster layer (where shrinkage is defensible) or the role layer (where evidence in this repository does not support disappearance). </w:t>
      </w:r>
      <w:r>
        <w:rPr>
          <w:b/>
        </w:rPr>
        <w:t>Institutional actors</w:t>
      </w:r>
      <w:r>
        <w:t xml:space="preserve"> — PhD methods curricula, replication archives, methods-policy committees — receive a diagnostic for which roles warrant curricular and editorial investment as throughput tasks migrate. Table 5 maps these audiences onto research stages; Table 6 specifies status-by-status authorial imperatives with implied coordination mechanisms.</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Tornberg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Status-conditional authorial recommendations.</w:t>
      </w:r>
      <w:r>
        <w:t xml:space="preserve"> One conditional recommendation per status, with the exemplar case from §3.0, the implied human-AI coordination mechanism, and the count of role × case cells coded at that status in the current repository (denominator = 612 cells throughout). The recommendations are scope-conditioned to the §2 framework licensing; deviations may be appropriate where the case's research configuration warrants them.</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 consider…</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count</w:t>
            </w:r>
          </w:p>
        </w:tc>
      </w:tr>
      <w:tr>
        <w:tc>
          <w:tcPr>
            <w:tcW w:type="dxa" w:w="1728"/>
          </w:tcPr>
          <w:p>
            <w:r/>
            <w:r>
              <w:t>Robust</w:t>
            </w:r>
          </w:p>
        </w:tc>
        <w:tc>
          <w:tcPr>
            <w:tcW w:type="dxa" w:w="1728"/>
          </w:tcPr>
          <w:p>
            <w:r/>
            <w:r>
              <w:t>…where the role is treated as load-bearing for inferences, tying it to a methods or limitations claim and specifying the validity loss AI substitution would incur.</w:t>
            </w:r>
          </w:p>
        </w:tc>
        <w:tc>
          <w:tcPr>
            <w:tcW w:type="dxa" w:w="1728"/>
          </w:tcPr>
          <w:p>
            <w:r/>
            <w:r>
              <w:t>Human-as-sole-performer; AI excluded from this role-cell.</w:t>
            </w:r>
          </w:p>
        </w:tc>
        <w:tc>
          <w:tcPr>
            <w:tcW w:type="dxa" w:w="1728"/>
          </w:tcPr>
          <w:p>
            <w:r/>
            <w:r>
              <w:t>Keith, 2026 / Case 2</w:t>
            </w:r>
          </w:p>
        </w:tc>
        <w:tc>
          <w:tcPr>
            <w:tcW w:type="dxa" w:w="1728"/>
          </w:tcPr>
          <w:p>
            <w:r/>
            <w:r>
              <w:t>56 / 612 cells robust (15 of 36 cases carry ≥ 1)</w:t>
            </w:r>
          </w:p>
        </w:tc>
      </w:tr>
      <w:tr>
        <w:tc>
          <w:tcPr>
            <w:tcW w:type="dxa" w:w="1728"/>
          </w:tcPr>
          <w:p>
            <w:r/>
            <w:r>
              <w:t>Conditional</w:t>
            </w:r>
          </w:p>
        </w:tc>
        <w:tc>
          <w:tcPr>
            <w:tcW w:type="dxa" w:w="1728"/>
          </w:tcPr>
          <w:p>
            <w:r/>
            <w:r>
              <w:t>…naming at least one moderator variable under which human performance is required and reporting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conditional</w:t>
            </w:r>
          </w:p>
        </w:tc>
      </w:tr>
      <w:tr>
        <w:tc>
          <w:tcPr>
            <w:tcW w:type="dxa" w:w="1728"/>
          </w:tcPr>
          <w:p>
            <w:r/>
            <w:r>
              <w:t>Transformed</w:t>
            </w:r>
          </w:p>
        </w:tc>
        <w:tc>
          <w:tcPr>
            <w:tcW w:type="dxa" w:w="1728"/>
          </w:tcPr>
          <w:p>
            <w:r/>
            <w:r>
              <w:t>…using before/after language or a verb swap; naming new sub-tasks (disclosure, credit allocation, calibration audit) as new rather than as extensions.</w:t>
            </w:r>
          </w:p>
        </w:tc>
        <w:tc>
          <w:tcPr>
            <w:tcW w:type="dxa" w:w="1728"/>
          </w:tcPr>
          <w:p>
            <w:r/>
            <w:r>
              <w:t>Content-redefined human role: AI absorbs the prior content, the human's task list changes around it (Puranam, 2021).</w:t>
            </w:r>
          </w:p>
        </w:tc>
        <w:tc>
          <w:tcPr>
            <w:tcW w:type="dxa" w:w="1728"/>
          </w:tcPr>
          <w:p>
            <w:r/>
            <w:r>
              <w:t>Yin, n.d. / Case 29</w:t>
            </w:r>
          </w:p>
        </w:tc>
        <w:tc>
          <w:tcPr>
            <w:tcW w:type="dxa" w:w="1728"/>
          </w:tcPr>
          <w:p>
            <w:r/>
            <w:r>
              <w:t>30 / 612 cells transformed</w:t>
            </w:r>
          </w:p>
        </w:tc>
      </w:tr>
      <w:tr>
        <w:tc>
          <w:tcPr>
            <w:tcW w:type="dxa" w:w="1728"/>
          </w:tcPr>
          <w:p>
            <w:r/>
            <w:r>
              <w:t>Shrinking</w:t>
            </w:r>
          </w:p>
        </w:tc>
        <w:tc>
          <w:tcPr>
            <w:tcW w:type="dxa" w:w="1728"/>
          </w:tcPr>
          <w:p>
            <w:r/>
            <w:r>
              <w:t>…reporting the public ground truth or high-consensus target; characterizing residual human labor as rescue, triage, or verification; not extending the shrinkage claim to role-layer disappearance.</w:t>
            </w:r>
          </w:p>
        </w:tc>
        <w:tc>
          <w:tcPr>
            <w:tcW w:type="dxa" w:w="1728"/>
          </w:tcPr>
          <w:p>
            <w:r/>
            <w:r>
              <w:t>Exception-handling oversight: AI as default performer, human routed in for triage and rescue only.</w:t>
            </w:r>
          </w:p>
        </w:tc>
        <w:tc>
          <w:tcPr>
            <w:tcW w:type="dxa" w:w="1728"/>
          </w:tcPr>
          <w:p>
            <w:r/>
            <w:r>
              <w:t>Tornberg, 2025 / Case 1</w:t>
            </w:r>
          </w:p>
        </w:tc>
        <w:tc>
          <w:tcPr>
            <w:tcW w:type="dxa" w:w="1728"/>
          </w:tcPr>
          <w:p>
            <w:r/>
            <w:r>
              <w:t>40 / 612 cells shrinking (concentrated in 11 cases)</w:t>
            </w:r>
          </w:p>
        </w:tc>
      </w:tr>
      <w:tr>
        <w:tc>
          <w:tcPr>
            <w:tcW w:type="dxa" w:w="1728"/>
          </w:tcPr>
          <w:p>
            <w:r/>
            <w:r>
              <w:t>Split pressure</w:t>
            </w:r>
          </w:p>
        </w:tc>
        <w:tc>
          <w:tcPr>
            <w:tcW w:type="dxa" w:w="1728"/>
          </w:tcPr>
          <w:p>
            <w:r/>
            <w:r>
              <w:t>…showing that AI performance differs across the conflated sub-activities; distinguishing the sub-activities in the analysis and revising the typology accordingly.</w:t>
            </w:r>
          </w:p>
        </w:tc>
        <w:tc>
          <w:tcPr>
            <w:tcW w:type="dxa" w:w="1728"/>
          </w:tcPr>
          <w:p>
            <w:r/>
            <w:r>
              <w:t>Role bifurcation: two separately-coordinated sub-roles, each with its own performer assignment.</w:t>
            </w:r>
          </w:p>
        </w:tc>
        <w:tc>
          <w:tcPr>
            <w:tcW w:type="dxa" w:w="1728"/>
          </w:tcPr>
          <w:p>
            <w:r/>
            <w:r>
              <w:t>Gligorić, n.d. / Case 3</w:t>
            </w:r>
          </w:p>
        </w:tc>
        <w:tc>
          <w:tcPr>
            <w:tcW w:type="dxa" w:w="1728"/>
          </w:tcPr>
          <w:p>
            <w:r/>
            <w:r>
              <w:t>39 / 612 cells split pressure (7 of 8 starting roles triggered)</w:t>
            </w:r>
          </w:p>
        </w:tc>
      </w:tr>
      <w:tr>
        <w:tc>
          <w:tcPr>
            <w:tcW w:type="dxa" w:w="1728"/>
          </w:tcPr>
          <w:p>
            <w:r/>
            <w:r>
              <w:t>Merge pressure</w:t>
            </w:r>
          </w:p>
        </w:tc>
        <w:tc>
          <w:tcPr>
            <w:tcW w:type="dxa" w:w="1728"/>
          </w:tcPr>
          <w:p>
            <w:r/>
            <w:r>
              <w:t>…reporting evidence that the two roles are inseparable in practice within the case; treating them as a joint object rather than as independent activities.</w:t>
            </w:r>
          </w:p>
        </w:tc>
        <w:tc>
          <w:tcPr>
            <w:tcW w:type="dxa" w:w="1728"/>
          </w:tcPr>
          <w:p>
            <w:r/>
            <w:r>
              <w:t>Joint-object coordination: the two role-cells must be performed by a single accountable unit.</w:t>
            </w:r>
          </w:p>
        </w:tc>
        <w:tc>
          <w:tcPr>
            <w:tcW w:type="dxa" w:w="1728"/>
          </w:tcPr>
          <w:p>
            <w:r/>
            <w:r>
              <w:t>Hajishirzi, 2026 / Case 10</w:t>
            </w:r>
          </w:p>
        </w:tc>
        <w:tc>
          <w:tcPr>
            <w:tcW w:type="dxa" w:w="1728"/>
          </w:tcPr>
          <w:p>
            <w:r/>
            <w:r>
              <w:t>2 / 612 cells (both on Case 10)</w:t>
            </w:r>
          </w:p>
        </w:tc>
      </w:tr>
    </w:tbl>
    <w:p/>
    <w:p>
      <w:r>
        <w:t xml:space="preserve">Three artifacts together constitute the contribution: (1) the v1.0 rubric — a behaviorally-anchored instrument for coding role-status change at the (role × case) cell level; (2) the released applied-use pipeline — case CSV, codebook, decision tree (Appendix E), reviewer-audit checklist (Appendix F) — at the v1.0.0-ORM-submission release tag; (3) the disconfirmation apparatus — pre-committed 2027 hold-out, human second-coder pass, and parallel-rubric application by independent groups on a 2027–2030 sample. The rubric sits within computational social science (Lazer et al., 2009, 2020) at a level the existing CSS literature has under-theorized: not the pipeline (Hickman et al., 2022) and not the model, but the activity-level role within which both pipeline and model are embedded. We acknowledge a governmentality dimension: once the six statuses circulate as a measurement convention, researchers will plausibly organize their work around the rubric, which will partly </w:t>
      </w:r>
      <w:r>
        <w:rPr>
          <w:i/>
        </w:rPr>
        <w:t>produce</w:t>
      </w:r>
      <w:r>
        <w:t xml:space="preserve"> the role-system it claims to describe; this is the inescapable side of any methodological-rubric contribution. We hope the rubric serves as a catalyst for instrument-grade audits of role-system change under AI embedding.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p>
      <w:pPr>
        <w:pStyle w:val="ListBullet"/>
      </w:pPr>
      <w:r>
        <w:t>Bail, 2024. Can Generative AI improve social science? [BG006]</w:t>
      </w:r>
    </w:p>
    <w:p>
      <w:pPr>
        <w:pStyle w:val="ListBullet"/>
      </w:pPr>
      <w:r>
        <w:t>Ziems et al., 2024. Can large language models transform computational social science? [BG007]</w:t>
      </w:r>
    </w:p>
    <w:p>
      <w:pPr>
        <w:pStyle w:val="ListBullet"/>
      </w:pPr>
      <w:r>
        <w:t>Aguinis, Ramani, and Alabduljader, 2018. What you see is what you get? Enhancing methodological transparency in management research. [BG010]</w:t>
      </w:r>
    </w:p>
    <w:p>
      <w:pPr>
        <w:pStyle w:val="ListBullet"/>
      </w:pPr>
      <w:r>
        <w:t>Bergh et al., 2017. Is there a credibility crisis in strategic management research? Evidence on the reproducibility of study findings. [BG011]</w:t>
      </w:r>
    </w:p>
    <w:p>
      <w:pPr>
        <w:pStyle w:val="ListBullet"/>
      </w:pPr>
      <w:r>
        <w:t>Fiss, 2011. Building better causal theories: A fuzzy set approach to typologies in organization research. [BG012]</w:t>
      </w:r>
    </w:p>
    <w:p>
      <w:pPr>
        <w:pStyle w:val="ListBullet"/>
      </w:pPr>
      <w:r>
        <w:t>Delbridge and Fiss, 2013. Editors' comments: Styles of theorizing and the social organization of knowledge. [BG013]</w:t>
      </w:r>
    </w:p>
    <w:p>
      <w:pPr>
        <w:pStyle w:val="ListBullet"/>
      </w:pPr>
      <w:r>
        <w:t>Cornelissen, 2017. Editor's comments: Developing propositions, a process model, or a typology? Addressing the challenges of writing theory without a boilerplate. [BG014]</w:t>
      </w:r>
    </w:p>
    <w:p>
      <w:pPr>
        <w:pStyle w:val="ListBullet"/>
      </w:pPr>
      <w:r>
        <w:t>Abbott, 2005. Linked ecologies: States and universities as environments for professions. [BG015]</w:t>
      </w:r>
    </w:p>
    <w:p>
      <w:pPr>
        <w:pStyle w:val="ListBullet"/>
      </w:pPr>
      <w:r>
        <w:t>Eyal, 2013. For a sociology of expertise: The social origins of the autism epidemic. [BG016]</w:t>
      </w:r>
    </w:p>
    <w:p>
      <w:pPr>
        <w:pStyle w:val="ListBullet"/>
      </w:pPr>
      <w:r>
        <w:t>Merton, 1957. The role-set: Problems in sociological theory. [BG018]</w:t>
      </w:r>
    </w:p>
    <w:p>
      <w:pPr>
        <w:pStyle w:val="ListBullet"/>
      </w:pPr>
      <w:r>
        <w:t>Cronbach and Meehl, 1955. Construct validity in psychological tests. [BG020]</w:t>
      </w:r>
    </w:p>
    <w:p>
      <w:pPr>
        <w:pStyle w:val="ListBullet"/>
      </w:pPr>
      <w:r>
        <w:t>Messick, 1995. Validity of psychological assessment: Validation of inferences from persons' responses and performances as scientific inquiry into score meaning. [BG021]</w:t>
      </w:r>
    </w:p>
    <w:p>
      <w:pPr>
        <w:pStyle w:val="ListBullet"/>
      </w:pPr>
      <w:r>
        <w:t>Stemler, 2001. An overview of content analysis. [BG022]</w:t>
      </w:r>
    </w:p>
    <w:p>
      <w:pPr>
        <w:pStyle w:val="ListBullet"/>
      </w:pPr>
      <w:r>
        <w:t>Duriau, Reger, and Pfarrer, 2007. A content analysis of the content analysis literature in organization studies. [BG023]</w:t>
      </w:r>
    </w:p>
    <w:p>
      <w:pPr>
        <w:pStyle w:val="ListBullet"/>
      </w:pPr>
      <w:r>
        <w:t>Krippendorff, 2011. Computing Krippendorff's alpha-reliability. [BG024]</w:t>
      </w:r>
    </w:p>
    <w:p>
      <w:pPr>
        <w:pStyle w:val="ListBullet"/>
      </w:pPr>
      <w:r>
        <w:t>Page et al., 2021. The PRISMA 2020 statement: An updated guideline for reporting systematic reviews. [BG025]</w:t>
      </w:r>
    </w:p>
    <w:p>
      <w:pPr>
        <w:pStyle w:val="ListBullet"/>
      </w:pPr>
      <w:r>
        <w:t>Tranfield, Denyer, and Smart, 2003. Towards a methodology for developing evidence-informed management knowledge by means of systematic review. [BG026]</w:t>
      </w:r>
    </w:p>
    <w:p>
      <w:pPr>
        <w:pStyle w:val="ListBullet"/>
      </w:pPr>
      <w:r>
        <w:t>Lazer et al., 2009. Computational social science. [BG027]</w:t>
      </w:r>
    </w:p>
    <w:p>
      <w:pPr>
        <w:pStyle w:val="ListBullet"/>
      </w:pPr>
      <w:r>
        <w:t>Lazer et al., 2020. Computational social science: Obstacles and opportunities. [BG029]</w:t>
      </w:r>
    </w:p>
    <w:p>
      <w:pPr>
        <w:pStyle w:val="ListBullet"/>
      </w:pPr>
      <w:r>
        <w:t>Autor, 2015. Why are there still so many jobs? The history and future of workplace automation. [BG030]</w:t>
      </w:r>
    </w:p>
    <w:p>
      <w:pPr>
        <w:pStyle w:val="ListBullet"/>
      </w:pPr>
      <w:r>
        <w:t>Brynjolfsson and Mitchell, 2017. What can machine learning do? Workforce implications. [BG031]</w:t>
      </w:r>
    </w:p>
    <w:p>
      <w:pPr>
        <w:pStyle w:val="ListBullet"/>
      </w:pPr>
      <w:r>
        <w:t>Raisch and Krakowski, 2021. Artificial intelligence and management: The automation-augmentation paradox. [BG032]</w:t>
      </w:r>
    </w:p>
    <w:p>
      <w:pPr>
        <w:pStyle w:val="ListBullet"/>
      </w:pPr>
      <w:r>
        <w:t>Nosek et al., 2015. Promoting an open research culture. [BG033]</w:t>
      </w:r>
    </w:p>
    <w:p>
      <w:pPr>
        <w:pStyle w:val="ListBullet"/>
      </w:pPr>
      <w:r>
        <w:t>Nosek, Ebersole, DeHaven, and Mellor, 2018. The preregistration revolution. [BG034]</w:t>
      </w:r>
    </w:p>
    <w:p>
      <w:pPr>
        <w:pStyle w:val="ListBullet"/>
      </w:pPr>
      <w:r>
        <w:t>Gelman and Loken, 2014. The statistical crisis in science. [BG035]</w:t>
      </w:r>
    </w:p>
    <w:p>
      <w:pPr>
        <w:pStyle w:val="ListBullet"/>
      </w:pPr>
      <w:r>
        <w:t>Open Science Collaboration, 2015. Estimating the reproducibility of psychological science. [BG036]</w:t>
      </w:r>
    </w:p>
    <w:p>
      <w:pPr>
        <w:pStyle w:val="ListBullet"/>
      </w:pPr>
      <w:r>
        <w:t>Ioannidis, 2005. Why most published research findings are false. [BG037]</w:t>
      </w:r>
    </w:p>
    <w:p>
      <w:pPr>
        <w:pStyle w:val="ListBullet"/>
      </w:pPr>
      <w:r>
        <w:t>Grossmann et al., 2023. AI and the transformation of social science research. [BG038]</w:t>
      </w:r>
    </w:p>
    <w:p>
      <w:pPr>
        <w:pStyle w:val="ListBullet"/>
      </w:pPr>
      <w:r>
        <w:t>Törnberg, 2023. How to use LLMs for text analysis. [BG039]</w:t>
      </w:r>
    </w:p>
    <w:p>
      <w:pPr>
        <w:pStyle w:val="ListBullet"/>
      </w:pPr>
      <w:r>
        <w:t>Aguinis, Pierce, Bosco, and Muslin, 2009. First decade of Organizational Research Methods: Trends in design, measurement, and data-analysis topics. [BG042]</w:t>
      </w:r>
    </w:p>
    <w:p>
      <w:pPr>
        <w:pStyle w:val="ListBullet"/>
      </w:pPr>
      <w:r>
        <w:t>Aguinis, Ramani, and Alabduljader, 2023. Best-practice recommendations for producers, evaluators, and users of methodological literature reviews. [BG043]</w:t>
      </w:r>
    </w:p>
    <w:p>
      <w:pPr>
        <w:pStyle w:val="ListBullet"/>
      </w:pPr>
      <w:r>
        <w:t>Hickman, Thapa, Tay, Cao, and Srinivasan, 2022. Text preprocessing for text mining in organizational research: Review and recommendations. [BG045]</w:t>
      </w:r>
    </w:p>
    <w:p>
      <w:pPr>
        <w:pStyle w:val="ListBullet"/>
      </w:pPr>
      <w:r>
        <w:t>Edwards, 2001. Multidimensional constructs in organizational behavior research: An integrative analytical framework. [BG046]</w:t>
      </w:r>
    </w:p>
    <w:p>
      <w:pPr>
        <w:pStyle w:val="ListBullet"/>
      </w:pPr>
      <w:r>
        <w:t>Tay, Woo, Hickman, Booth, and D'Mello, 2022. A conceptual framework for investigating and mitigating machine-learning measurement bias (MLMB) in psychological assessment. [BG047]</w:t>
      </w:r>
    </w:p>
    <w:p>
      <w:pPr>
        <w:pStyle w:val="ListBullet"/>
      </w:pPr>
      <w:r>
        <w:t>Siddaway, Wood, and Hedges, 2019. How to do a systematic review: A best practice guide for conducting and reporting narrative reviews, meta-analyses, and meta-syntheses. [BG048]</w:t>
      </w:r>
    </w:p>
    <w:p>
      <w:pPr>
        <w:pStyle w:val="ListBullet"/>
      </w:pPr>
      <w:r>
        <w:t>Hruschka, Schwartz, St. John, Picone-Decaro, Jenkins, and Carey, 2004. Reliability in coding open-ended data: Lessons learned from HIV behavioral research. [BG049]</w:t>
      </w:r>
    </w:p>
    <w:p>
      <w:pPr>
        <w:pStyle w:val="ListBullet"/>
      </w:pPr>
      <w:r>
        <w:t>Borsboom, Mellenbergh, and van Heerden, 2004. The concept of validity. [BG050]</w:t>
      </w:r>
    </w:p>
    <w:p>
      <w:pPr>
        <w:pStyle w:val="ListBullet"/>
      </w:pPr>
      <w:r>
        <w:t>Doty and Glick, 1994. Typologies as a unique form of theory building: Toward improved understanding and modeling. [BG051]</w:t>
      </w:r>
    </w:p>
    <w:p>
      <w:pPr>
        <w:pStyle w:val="ListBullet"/>
      </w:pPr>
      <w:r>
        <w:t>Eisenhardt, 1989. Building theories from case study research. [BG052]</w:t>
      </w:r>
    </w:p>
    <w:p>
      <w:pPr>
        <w:pStyle w:val="ListBullet"/>
      </w:pPr>
      <w:r>
        <w:t>Eisenhardt, 2021. What is the Eisenhardt method, really? [BG053]</w:t>
      </w:r>
    </w:p>
    <w:p>
      <w:pPr>
        <w:pStyle w:val="ListBullet"/>
      </w:pPr>
      <w:r>
        <w:t>Flyvbjerg, 2006. Five misunderstandings about case-study research. [BG054]</w:t>
      </w:r>
    </w:p>
    <w:p>
      <w:pPr>
        <w:pStyle w:val="ListBullet"/>
      </w:pPr>
      <w:r>
        <w:t>Langley, 1999. Strategies for theorizing from process data. [BG055]</w:t>
      </w:r>
    </w:p>
    <w:p>
      <w:pPr>
        <w:pStyle w:val="ListBullet"/>
      </w:pPr>
      <w:r>
        <w:t>Frey and Osborne, 2017. The future of employment: How susceptible are jobs to computerisation? [BG056]</w:t>
      </w:r>
    </w:p>
    <w:p>
      <w:pPr>
        <w:pStyle w:val="ListBullet"/>
      </w:pPr>
      <w:r>
        <w:t>Acemoglu and Restrepo, 2020. Robots and jobs: Evidence from US labor markets. [BG057]</w:t>
      </w:r>
    </w:p>
    <w:p>
      <w:pPr>
        <w:pStyle w:val="ListBullet"/>
      </w:pPr>
      <w:r>
        <w:t>Kraus, Ribeiro-Soriano, and Schüssler, 2018. Fuzzy-set qualitative comparative analysis (fsQCA) in entrepreneurship and innovation research. [BG058]</w:t>
      </w:r>
    </w:p>
    <w:p>
      <w:pPr>
        <w:pStyle w:val="ListBullet"/>
      </w:pPr>
      <w:r>
        <w:t>Greckhamer, Furnari, Fiss, and Aguilera, 2018. Studying configurations with qualitative comparative analysis: Best practices in strategy and organization research. [BG059]</w:t>
      </w:r>
    </w:p>
    <w:p>
      <w:pPr>
        <w:pStyle w:val="ListBullet"/>
      </w:pPr>
      <w:r>
        <w:t>Liang et al., 2022. Holistic evaluation of language models. [BG060]</w:t>
      </w:r>
    </w:p>
    <w:p>
      <w:pPr>
        <w:pStyle w:val="ListBullet"/>
      </w:pPr>
      <w:r>
        <w:t>Chang et al., 2024. A survey on evaluation of large language models. [BG061]</w:t>
      </w:r>
    </w:p>
    <w:p>
      <w:pPr>
        <w:pStyle w:val="ListBullet"/>
      </w:pPr>
      <w:r>
        <w:t>Bommasani et al., 2022. On the opportunities and risks of foundation models. [BG062]</w:t>
      </w:r>
    </w:p>
    <w:p>
      <w:pPr>
        <w:pStyle w:val="ListBullet"/>
      </w:pPr>
      <w:r>
        <w:t>Weidinger et al., 2021. Ethical and social risks of harm from language models. [BG063]</w:t>
      </w:r>
    </w:p>
    <w:p>
      <w:pPr>
        <w:pStyle w:val="ListBullet"/>
      </w:pPr>
      <w:r>
        <w:t>Hayes and Krippendorff, 2007. Answering the call for a standard reliability measure for coding data. [BG064]</w:t>
      </w:r>
    </w:p>
    <w:p>
      <w:pPr>
        <w:pStyle w:val="ListBullet"/>
      </w:pPr>
      <w:r>
        <w:t>Lombard, Snyder-Duch, and Bracken, 2002. Content analysis in mass communication: Assessment and reporting of intercoder reliability. [BG065]</w:t>
      </w:r>
    </w:p>
    <w:p>
      <w:pPr>
        <w:pStyle w:val="ListBullet"/>
      </w:pPr>
      <w:r>
        <w:t>Landis and Koch, 1977. The measurement of observer agreement for categorical data. [BG066]</w:t>
      </w:r>
    </w:p>
    <w:p>
      <w:pPr>
        <w:pStyle w:val="ListBullet"/>
      </w:pPr>
      <w:r>
        <w:t>McHugh, 2012. Interrater reliability: The kappa statistic. *Biochemia Medica*, 22(3), 276–282. [BG068]</w:t>
      </w:r>
    </w:p>
    <w:p>
      <w:pPr>
        <w:pStyle w:val="ListBullet"/>
      </w:pPr>
      <w:r>
        <w:t>Snyder, 2019. Literature review as a research methodology: An overview and guidelines. *Journal of Business Research*, 104, 333–339. [BG069]</w:t>
      </w:r>
    </w:p>
    <w:p>
      <w:pPr>
        <w:pStyle w:val="ListBullet"/>
      </w:pPr>
      <w:r>
        <w:t>Cornelissen, Höllerer, and Seidl, 2021. What theory is and can be: Forms of theorizing in organizational scholarship. *Organization Theory*, 2(3), 1–19. [BG070]</w:t>
      </w:r>
    </w:p>
    <w:p>
      <w:pPr>
        <w:pStyle w:val="ListBullet"/>
      </w:pPr>
      <w:r>
        <w:t>Furnari, Crilly, Misangyi, Greckhamer, Fiss, and Aguilera, 2021. Capturing causal complexity: Heuristics for configurational theorizing. *Academy of Management Review*, 46(4), 778–799. [BG071]</w:t>
      </w:r>
    </w:p>
    <w:p>
      <w:pPr>
        <w:pStyle w:val="ListBullet"/>
      </w:pPr>
      <w:r>
        <w:t>Misangyi, Greckhamer, Furnari, Fiss, Crilly, and Aguilera, 2017. Embracing causal complexity: The emergence of a neo-configurational perspective. *Journal of Management*, 43(1), 255–282. [BG072]</w:t>
      </w:r>
    </w:p>
    <w:p>
      <w:pPr>
        <w:pStyle w:val="ListBullet"/>
      </w:pPr>
      <w:r>
        <w:t>Welch, Piekkari, Plakoyiannaki, and Paavilainen-Mäntymäki, 2011. Theorising from case studies: Towards a pluralist future for international business research. *Journal of International Business Studies*, 42(5), 740–762. [BG073]</w:t>
      </w:r>
    </w:p>
    <w:p>
      <w:pPr>
        <w:pStyle w:val="ListBullet"/>
      </w:pPr>
      <w:r>
        <w:t>Ramarajan, 2014. Past, present and future research on multiple identities: Toward an intrapersonal network approach. *Academy of Management Annals*, 8(1), 589–659. [BG074]</w:t>
      </w:r>
    </w:p>
    <w:p>
      <w:pPr>
        <w:pStyle w:val="ListBullet"/>
      </w:pPr>
      <w:r>
        <w:t>Woolley, Chabris, Pentland, Hashmi, and Malone, 2010. Evidence for a collective intelligence factor in the performance of human groups. *Science*, 330(6004), 686–688. [BG078]</w:t>
      </w:r>
    </w:p>
    <w:p>
      <w:pPr>
        <w:pStyle w:val="ListBullet"/>
      </w:pPr>
      <w:r>
        <w:t>Pratt, Kaplan, and Whittington, 2020. Editorial essay: The tumult over transparency: Decoupling transparency from replication in establishing trustworthy qualitative research. *Administrative Science Quarterly*, 65(1), 1–19. [BG079]</w:t>
      </w:r>
    </w:p>
    <w:p>
      <w:pPr>
        <w:pStyle w:val="ListBullet"/>
      </w:pPr>
      <w:r>
        <w:t>Puranam, 2021. Human-AI collaborative decision-making as an organization design problem. *Journal of Organization Design*, 10(2), 75–80. [BG080]</w:t>
      </w:r>
    </w:p>
    <w:p>
      <w:pPr>
        <w:pStyle w:val="ListBullet"/>
      </w:pPr>
      <w:r>
        <w:t>Puranam, Alexy, and Reitzig, 2014. What's "new" about new forms of organizing? *Academy of Management Review*, 39(2), 162–180. [BG081]</w:t>
      </w:r>
    </w:p>
    <w:p>
      <w:pPr>
        <w:pStyle w:val="ListBullet"/>
      </w:pPr>
      <w:r>
        <w:t>Orlikowski, 2007. Sociomaterial practices: Exploring technology at work. *Organization Studies*, 28(9), 1435–1448. [BG082]</w:t>
      </w:r>
    </w:p>
    <w:p>
      <w:pPr>
        <w:pStyle w:val="ListBullet"/>
      </w:pPr>
      <w:r>
        <w:t>Orlikowski and Scott, 2008. Sociomateriality: Challenging the separation of technology, work and organization. *Academy of Management Annals*, 2(1), 433–474. [BG083]</w:t>
      </w:r>
    </w:p>
    <w:p>
      <w:pPr>
        <w:pStyle w:val="ListBullet"/>
      </w:pPr>
      <w:r>
        <w:t>Suchman, 2007. *Human-Machine Reconfigurations: Plans and Situated Actions* (2nd ed.). Cambridge University Press. [BG084]</w:t>
      </w:r>
    </w:p>
    <w:p>
      <w:pPr>
        <w:pStyle w:val="ListBullet"/>
      </w:pPr>
      <w:r>
        <w:t>Vandenberg and Lance, 2000. A review and synthesis of the measurement invariance literature: Suggestions, practices, and recommendations for organizational research. *Organizational Research Methods*, 3(1), 4–70. [BG085]</w:t>
      </w:r>
    </w:p>
    <w:p>
      <w:pPr>
        <w:pStyle w:val="ListBullet"/>
      </w:pPr>
      <w:r>
        <w:t>Gioia, Corley, and Hamilton, 2013. Seeking qualitative rigor in inductive research: Notes on the Gioia methodology. *Organizational Research Methods*, 16(1), 15–31. [BG089]</w:t>
      </w:r>
    </w:p>
    <w:p>
      <w:pPr>
        <w:pStyle w:val="ListBullet"/>
      </w:pPr>
      <w:r>
        <w:t>Edwards and Bagozzi, 2000. On the nature and direction of relationships between constructs and measures. *Psychological Methods*, 5(2), 155–174. [BG090]</w:t>
      </w:r>
    </w:p>
    <w:p>
      <w:pPr>
        <w:pStyle w:val="ListBullet"/>
      </w:pPr>
      <w:r>
        <w:t>King, Keohane, and Verba, 1994. *Designing Social Inquiry: Scientific Inference in Qualitative Research*. Princeton University Press. [BG091]</w:t>
      </w:r>
    </w:p>
    <w:p>
      <w:pPr>
        <w:pStyle w:val="ListBullet"/>
      </w:pPr>
      <w:r>
        <w:t>Whetten, 1989. What constitutes a theoretical contribution? *Academy of Management Review*, 14(4), 490–495. [BG092]</w:t>
      </w:r>
    </w:p>
    <w:p>
      <w:pPr>
        <w:pStyle w:val="ListBullet"/>
      </w:pPr>
      <w:r>
        <w:t>Locke, 2007. Rational control and irrational free-play: Dual-thinking modes as necessary tension in grounded theorizing. *Organization Studies*, 28(6), 867–891. [BG094]</w:t>
      </w:r>
    </w:p>
    <w:p>
      <w:pPr>
        <w:pStyle w:val="ListBullet"/>
      </w:pPr>
      <w:r>
        <w:t>Barley, 1986. Technology as an occasion for structuring: Evidence from observations of CT scanners and the social order of radiology departments. *Administrative Science Quarterly*, 31(1), 78–108. [BG095]</w:t>
      </w:r>
    </w:p>
    <w:p>
      <w:pPr>
        <w:pStyle w:val="ListBullet"/>
      </w:pPr>
      <w:r>
        <w:t>Barley and Kunda, 2001. Bringing work back in. *Organization Science*, 12(1), 76–95. [BG096]</w:t>
      </w:r>
    </w:p>
    <w:p>
      <w:pPr>
        <w:pStyle w:val="ListBullet"/>
      </w:pPr>
      <w:r>
        <w:t>Suddaby, 2010. Editor's comments: Construct clarity in theories of management and organization. *Academy of Management Review*, 35(3), 346–360. [BG097]</w:t>
      </w:r>
    </w:p>
    <w:p>
      <w:pPr>
        <w:pStyle w:val="ListBullet"/>
      </w:pPr>
      <w:r>
        <w:t>Williams, Hartman, and Cavazotte, 2010. Method variance and marker variables: A review and comprehensive CFA marker technique. *Organizational Research Methods*, 13(3), 477–514. [BG102]</w:t>
      </w:r>
    </w:p>
    <w:p>
      <w:pPr>
        <w:pStyle w:val="ListBullet"/>
      </w:pPr>
      <w:r>
        <w:t>Lord, Foti, and DeVader, 1984. A test of leadership categorization theory: Internal structure, information processing, and leadership perceptions. *Organizational Behavior and Human Performance*, 34(3), 343–378. [BG104]</w:t>
      </w:r>
    </w:p>
    <w:p>
      <w:pPr>
        <w:pStyle w:val="ListBullet"/>
      </w:pPr>
      <w:r>
        <w:t>Eisenhardt and Graebner, 2007. Theory building from cases: Opportunities and challenges. *Academy of Management Journal*, 50(1), 25–32. [BG106]</w:t>
      </w:r>
    </w:p>
    <w:p>
      <w:pPr>
        <w:pStyle w:val="ListBullet"/>
      </w:pPr>
      <w:r>
        <w:t>Faraj and Pachidi, 2021. Beyond Uberization: The co-constitution of technology and organizing. *Organization Theory*, 2(1), 1–14. [BG108]</w:t>
      </w:r>
    </w:p>
    <w:p>
      <w:pPr>
        <w:pStyle w:val="ListBullet"/>
      </w:pPr>
      <w:r>
        <w:t>Feldman and Pentland, 2003. Reconceptualizing organizational routines as a source of flexibility and change. *Administrative Science Quarterly*, 48(1), 94–118. [BG113]</w:t>
      </w:r>
    </w:p>
    <w:p>
      <w:pPr>
        <w:pStyle w:val="ListBullet"/>
      </w:pPr>
      <w:r>
        <w:t>Pentland and Feldman, 2008. Designing routines: On the folly of designing artifacts while hoping for patterns of action. *Information and Organization*, 18(4), 235–250. [BG114]</w:t>
      </w:r>
    </w:p>
    <w:p>
      <w:pPr>
        <w:pStyle w:val="ListBullet"/>
      </w:pPr>
      <w:r>
        <w:t>Weick and Sutcliffe, 2007. *Managing the Unexpected: Resilient Performance in an Age of Uncertainty* (2nd ed.). Jossey-Bass. [BG115]</w:t>
      </w:r>
    </w:p>
    <w:p>
      <w:pPr>
        <w:pStyle w:val="ListBullet"/>
      </w:pPr>
      <w:r>
        <w:t>Pentland, 1999. Building process theory with narrative: From description to explanation. *Academy of Management Review*, 24(4), 711–724. [BG116]</w:t>
      </w:r>
    </w:p>
    <w:p>
      <w:pPr>
        <w:pStyle w:val="ListBullet"/>
      </w:pPr>
      <w:r>
        <w:t>Smith and Lewis, 2011. Toward a theory of paradox: A dynamic equilibrium model of organizing. *Academy of Management Review*, 36(2), 381–403. [BG117]</w:t>
      </w:r>
    </w:p>
    <w:p>
      <w:pPr>
        <w:pStyle w:val="ListBullet"/>
      </w:pPr>
      <w:r>
        <w:t>Lewis, 2000. Exploring paradox: Toward a more comprehensive guide. *Academy of Management Review*, 25(4), 760–776. [BG118]</w:t>
      </w:r>
    </w:p>
    <w:p>
      <w:pPr>
        <w:pStyle w:val="ListBullet"/>
      </w:pPr>
      <w:r>
        <w:t>DiMaggio and Powell, 1983. The iron cage revisited: Institutional isomorphism and collective rationality in organizational fields. *American Sociological Review*, 48(2), 147–160. [BG119]</w:t>
      </w:r>
    </w:p>
    <w:p>
      <w:pPr>
        <w:pStyle w:val="ListBullet"/>
      </w:pPr>
      <w:r>
        <w:t>Scott, 2014. *Institutions and Organizations: Ideas, Interests, and Identities* (4th ed.). Sage. [BG120]</w:t>
      </w:r>
    </w:p>
    <w:p>
      <w:pPr>
        <w:pStyle w:val="ListBullet"/>
      </w:pPr>
      <w:r>
        <w:t>Suchman (M.C.), 1995. Managing legitimacy: Strategic and institutional approaches. *Academy of Management Review*, 20(3), 571–610. [BG121]</w:t>
      </w:r>
    </w:p>
    <w:p>
      <w:pPr>
        <w:pStyle w:val="ListBullet"/>
      </w:pPr>
      <w:r>
        <w:t>Schatzki, 2002. *The Site of the Social: A Philosophical Account of the Constitution of Social Life and Change*. Pennsylvania State University Press. [BG122]</w:t>
      </w:r>
    </w:p>
    <w:p>
      <w:pPr>
        <w:pStyle w:val="ListBullet"/>
      </w:pPr>
      <w:r>
        <w:t>Nicolini, 2012. *Practice Theory, Work, and Organization: An Introduction*. Oxford University Press. [BG123]</w:t>
      </w:r>
    </w:p>
    <w:p>
      <w:pPr>
        <w:pStyle w:val="ListBullet"/>
      </w:pPr>
      <w:r>
        <w:t>Aldrich and Ruef, 2006. *Organizations Evolving* (2nd ed.). Sage. [BG124]</w:t>
      </w:r>
    </w:p>
    <w:p>
      <w:pPr>
        <w:pStyle w:val="ListBullet"/>
      </w:pPr>
      <w:r>
        <w:t>Hannan and Freeman, 1977. The population ecology of organizations. *American Journal of Sociology*, 82(5), 929–964. [BG125]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