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From Repository to Role System: A Comparative Typology Audit of 36 Cases</w:t>
      </w:r>
    </w:p>
    <w:p>
      <w:pPr>
        <w:pStyle w:val="Heading1"/>
      </w:pPr>
      <w:r>
        <w:t>Abstract</w:t>
      </w:r>
    </w:p>
    <w:p>
      <w:r>
        <w:t xml:space="preserve">Debate about AI in research is still often framed as a contest between humans and models. That framing is too coarse for the current evidence. This paper makes three contributions. </w:t>
      </w:r>
      <w:r>
        <w:rPr>
          <w:i/>
        </w:rPr>
        <w:t>First</w:t>
      </w:r>
      <w:r>
        <w:t xml:space="preserve">, it recasts a source-backed repository of 36 cases — spanning measurement, evidence synthesis, qualitative interpretation, simulation, reproducibility, governance, and autonomy-heavy boundary systems — as a role-system dataset, with 93 source rows, 144 evidence extracts, and 612 role-coding rows traced to local full-text PDFs. </w:t>
      </w:r>
      <w:r>
        <w:rPr>
          <w:i/>
        </w:rPr>
        <w:t>Second</w:t>
      </w:r>
      <w:r>
        <w:t xml:space="preserve">, it develops a comparative typology that distinguishes six role statuses — robust, conditional, transformed, shrinking, split pressure, and merge pressure (the last observed in only one case and retained on typological rather than frequentist grounds) — and specifies behavioral anchors that make each status externally auditable. </w:t>
      </w:r>
      <w:r>
        <w:rPr>
          <w:i/>
        </w:rPr>
        <w:t>Third</w:t>
      </w:r>
      <w:r>
        <w:t>, it applies the typology to the 36 cases and reports the resulting pattern. Protocol and provenance architect is robust in 15 cases, conditional in 5, and transformed in 7; calibration architect is robust in 8 and conditional in 10. Cleanly shrinking work is concentrated in three throughput clusters — routine first-pass screening, high-consensus coding on ground-truth-rich tasks (including code-package repair), and structural prose polishing — which together account for 40 shrinking observations. The repository's evidence does not license claims that human research roles have broadly disappeared. The paper's claim ceiling is therefore deliberately set at comparative typology audit with a framework rather than at validated theory of automated science. Inter-coder agreement on a pre-specified subsample is reported in §6 as a known limitation. Cross-family and cross-capability counts are reported descriptively and presuppose, but do not yet test, configural measurement invariance of the rubric's anchors across the eight case families and three AI capabilities (Vandenberg &amp; Lance, 2000); a configural-invariance test is pre-committed to the v1.1 protocol.</w:t>
      </w:r>
    </w:p>
    <w:p>
      <w:pPr>
        <w:pStyle w:val="Heading1"/>
      </w:pPr>
      <w:r>
        <w:t>1. Introduction</w:t>
      </w:r>
    </w:p>
    <w:p>
      <w:r>
        <w:t>Claims that AI is reshaping research labor are ubiquitous, and the recent review literature catalogues both what large language models can do across social-science workflows and what they cannot. Surveys of generative AI in social-science research (Bail, 2024; Grossmann et al., 2023) and benchmark evaluations across computational social-science tasks (Ziems et al., 2024) document substantial capability ranges; practical guides describe how to use LLMs for text analysis (Törnberg, 2023) and outline applications in psychology (Demszky et al., 2023); broader surveys of AI for scientific research catalogue tools across the research pipeline (Luo et al., 2024). What remains thin is the vocabulary used to adjudicate role-level claims. Methods-journal reviewers increasingly face manuscripts whose automation claims straddle the line between shrinkable task clusters — routine screening, high-consensus coding, structural prose polishing — and constitutive research roles where meaning, provenance, calibration, and accountability are at stake. A shared coding vocabulary for that adjudication does not yet exist, and the resulting debate oscillates between blanket displacement narratives and blanket continuity narratives without a role-level evidence base.</w:t>
      </w:r>
    </w:p>
    <w:p>
      <w:r>
        <w:t xml:space="preserve">The gap is partly a venue gap. </w:t>
      </w:r>
      <w:r>
        <w:rPr>
          <w:i/>
        </w:rPr>
        <w:t>Organizational Research Methods</w:t>
      </w:r>
      <w:r>
        <w:t xml:space="preserve"> and adjacent management-methods journals have a sustained tradition of building behaviorally-anchored audit rubrics for published research (Aguinis et al., 2009, 2018; Bergh et al., 2017) and of construct-validation work that grounds those rubrics in measurement theory (Edwards, 2001). That tradition has produced rubrics for review quality (Aguinis et al., 2023), text-mining choices (Hickman et al., 2022), and qualitative transparency (Aguinis &amp; Solarino, 2019), but it has not yet produced a rubric for adjudicating </w:t>
      </w:r>
      <w:r>
        <w:rPr>
          <w:i/>
        </w:rPr>
        <w:t>role-level</w:t>
      </w:r>
      <w:r>
        <w:t xml:space="preserve"> automation claims at the (role × case) cell level under AI embedding. The methodological-transparency literature has identified the credibility cost of unprincipled methodological choices in management research (Bergh et al., 2017); the role-level rubric proposed here addresses one specific transparency gap that AI embedding has opened.</w:t>
      </w:r>
    </w:p>
    <w:p>
      <w:r>
        <w:t xml:space="preserve">This paper offers methods-journal readers a behaviorally anchored rubric for coding role-status change in research workflows under AI involvement, and a worked application of that rubric to 36 cases. We treat the role, not the human or the model, as the unit of analysis — though we note that the rubric's </w:t>
      </w:r>
      <w:r>
        <w:rPr>
          <w:i/>
        </w:rPr>
        <w:t>transformed</w:t>
      </w:r>
      <w:r>
        <w:t xml:space="preserve"> anchor was developed on AI-embedding cases and is not symmetric to non-AI comparison. The rubric distinguishes six statuses on two axes: an </w:t>
      </w:r>
      <w:r>
        <w:rPr>
          <w:i/>
        </w:rPr>
        <w:t>allocation</w:t>
      </w:r>
      <w:r>
        <w:t xml:space="preserve"> axis (robust → conditional → transformed → shrinking) tracking how human performance yields first scope, then content, then volume as AI is embedded; and a </w:t>
      </w:r>
      <w:r>
        <w:rPr>
          <w:i/>
        </w:rPr>
        <w:t>specification</w:t>
      </w:r>
      <w:r>
        <w:t xml:space="preserve"> axis (split and merge pressure) revising the unit of analysis itself. We propose the rubric, report inter-coder agreement on a pre-specified subsample, and release the case files so the rubric can be applied, contested, and extended.</w:t>
      </w:r>
    </w:p>
    <w:p>
      <w:r>
        <w:t xml:space="preserve">The most common mistake in contemporary writing about AI and research is to ask whether "humans" or "AI" perform better. That question hides the unit of change that matters most. Research is not one task. It is a role system composed of boundary setting, procedure design, coding, calibration, interpretation, accountability, repair, disclosure, and many other forms of labor. We use </w:t>
      </w:r>
      <w:r>
        <w:rPr>
          <w:i/>
        </w:rPr>
        <w:t>role system</w:t>
      </w:r>
      <w:r>
        <w:t xml:space="preserve"> to mean a set of activity-level roles individuated by their contribution to epistemic validity, distributable across human and non-human performers, and observable through behavioral anchors rather than occupational title. The construct draws on three lines of prior work and rescales each. From the sociology of professions, it borrows Abbott's (1988, 2005) jurisdictional mechanisms — diagnosis, legitimation, segmentation, and consolidation — but rescales them from the occupational profession to the activity-level role; recent work in this tradition (Eyal, 2013; Eyal &amp; Pok, 2015; Anteby et al., 2016) similarly directs attention away from job titles and toward the boundary work through which expertise is produced, treating </w:t>
      </w:r>
      <w:r>
        <w:rPr>
          <w:i/>
        </w:rPr>
        <w:t>expertise</w:t>
      </w:r>
      <w:r>
        <w:t xml:space="preserve"> rather than </w:t>
      </w:r>
      <w:r>
        <w:rPr>
          <w:i/>
        </w:rPr>
        <w:t>the profession</w:t>
      </w:r>
      <w:r>
        <w:t xml:space="preserve"> as the unit at which jurisdictional change is most legibly observed. From classical role theory, it borrows the relational specification of role bundles (Merton, 1957; Biddle, 1986) but operationalizes them as behaviorally observable activities rather than as normative expectations attached to positions; the recent role-theory synthesis treats roles as structured, partially overlapping bundles within an intrapersonal network (Ramarajan, 2014), an idea the rubric extends from the human person to the activity-level role under AI embedding. Once the empirical unit shifts from "the human" to "the role," a different picture appears. The strongest current evidence does not point to blanket human replacement. It points to uneven redistribution: durable human roles where meaning, admissible procedure, provenance, calibration, and accountability are at stake, and cleaner shrinkage where tasks have public ground truth or a strong audit trail (Keith, 2026; Baccolini, 2026; Larson, 2024; Kang, 2025).</w:t>
      </w:r>
    </w:p>
    <w:p>
      <w:r>
        <w:t>This paper develops that claim from a completed source-backed database of 36 cases. The cases span contested political measurement, review screening, synthetic respondents, reflexive memoing, autonomous empirical analysis, reproducibility assessment, code repair, manuscript co-writing, disclosure tools, and autonomy-heavy research systems. The point of the database is not to identify one winner between humans and AI. It is to identify which roles remain robust, which become conditional, which transform, which shrink into task-clusters, and which were mis-specified in the starting typology because the repository creates pressure to split them.</w:t>
      </w:r>
    </w:p>
    <w:p>
      <w:r>
        <w:t>The paper asks a straightforward research question: across the full repository, which human research roles are robust, conditional, transformed, shrinking, or mis-specified under generative, agentic, and predictive AI? It carries three hypotheses into the comparative analysis. First, boundary-setting and procedure-setting roles should survive more often than routine production tasks. Second, shrinkage should cluster where tasks have public ground truth and clean post hoc auditability. Third, role status should vary more by research stage and institutional setting than by AI capability label alone.</w:t>
      </w:r>
    </w:p>
    <w:p>
      <w:r>
        <w:t>The resulting argument is intentionally narrower than many automation narratives. It does not claim that no roles are shrinking. It does not claim that autonomy-heavy systems are irrelevant. It also does not claim that today’s boundary systems prove end-to-end autonomous social science. Instead, it shows that the repository becomes most analytically useful once it is read as a role-system archive. On that reading, the durable question is not "can the model do research?" but "which human roles remain constitutive of epistemic validity when models become embedded in the workflow?"</w:t>
      </w:r>
    </w:p>
    <w:p>
      <w:r>
        <w:t xml:space="preserve">The framing places the manuscript in conversation with three broader literatures and borrows from each at the level at which it operates. Abbott's (1988) jurisdictional theory works at the occupational profession; we rescale it to the activity-level role, keeping the mechanisms — diagnosis, legitimation, segmentation, consolidation — but narrowing the unit. Grimmer's (2021) agnostic ML-for-social-science makes model performance inseparable from measurement discipline; the rubric operationalizes that by isolating </w:t>
      </w:r>
      <w:r>
        <w:rPr>
          <w:i/>
        </w:rPr>
        <w:t>calibration architect</w:t>
      </w:r>
      <w:r>
        <w:t xml:space="preserve"> as a split-candidate role with its own status. Amershi et al. (2019) and Shneiderman (2022) work at the interface level; the rubric rescales their control-point intuitions to the research-workflow level, treating protocol and provenance architecture as the analog of "make clear what the system can do." Integrating across these three levels, the rubric is jurisdictional in its mechanisms, measurement-disciplined in its calibration distinction, and control-point-aware in its procedural roles. The manuscript's novelty is therefore not a new benchmark. It is a comparative typology audit that integrates these concerns into one source-backed repository analysis. The venue fit is specific: </w:t>
      </w:r>
      <w:r>
        <w:rPr>
          <w:i/>
        </w:rPr>
        <w:t>Organizational Research Methods</w:t>
      </w:r>
      <w:r>
        <w:t xml:space="preserve"> has a thirty-year tradition of publishing behaviorally-anchored measurement instruments and audit rubrics — from the review-quality rubric of Aguinis, Ramani &amp; Alabduljader (2023) to the text-mining decision framework of Hickman, Thapa, Tay, Cao &amp; Srinivasan (2022) — and the role-status rubric developed here belongs to that lineage rather than to the broader methods-adjacent literature on AI in social research. The contribution boundary relative to each predecessor is specific. Unlike Aguinis et al. (2023), which rates manuscript-level review-quality on a single dimension, this rubric operates at the role × case level and is explicitly mutually-exclusive within a cell. Unlike Hickman et al. (2022), which adjudicates a single methodological choice (text preprocessing), this rubric treats the full role-system allocation as the object of analysis and admits reconfiguration pressure as a codable outcome. Unlike Tay et al. (2022), which provides a conceptual framework for investigating measurement bias in machine-learning assessment, this rubric is empirically applied to a comparative audit of 36 cases and commits to externally-auditable inter-coder reliability.</w:t>
      </w:r>
    </w:p>
    <w:p>
      <w:pPr>
        <w:pStyle w:val="Heading1"/>
      </w:pPr>
      <w:r>
        <w:t>2. Data and Design</w:t>
      </w:r>
    </w:p>
    <w:p>
      <w:r>
        <w:t xml:space="preserve">The analysis is built from a local database rather than from a narrative reading of a few high-profile examples. Cases were seeded by the following rule: (i) published or preprinted 2023–2026; (ii) primary empirical object is AI use in a research step — measurement, screening, interpretation, synthesis, reproducibility, authorship, or autonomous pipelines; (iii) full text retrievable for coding. The sampling logic follows the systematic-review tradition of explicit inclusion rules and reporting (Page et al., 2021; Tranfield, Denyer, &amp; Smart, 2003; Siddaway, Wood, &amp; Hedges, 2019). The 36-case audit is best characterized in Snyder's (2019) three-type framework as a </w:t>
      </w:r>
      <w:r>
        <w:rPr>
          <w:i/>
        </w:rPr>
        <w:t>semi-systematic</w:t>
      </w:r>
      <w:r>
        <w:t xml:space="preserve"> review: it maps theoretical approaches (the eight starting roles plus six split-candidate roles) and identifies knowledge gaps (the rubric-revision pressure documented as split and merge pressure) rather than aiming for an exhaustive enumeration of every published case in the AI-in-research space. The seed pool was assembled from targeted searches of methodological venues plus forward and backward citation from four anchor papers (Tornberg, 2025; Keith, 2026; Larson, 2024; Kang, 2025), and supplemented with preprint-server queries for autonomy-heavy systems not yet peer-reviewed. A dropped-case list with exclusion reasons is released alongside the database. The seed strategy concentrates on AI-in-research projects that are visibly identified as such — methodological-venue search and forward/backward citation from anchor papers preferentially surface high-visibility cases — and we acknowledge a </w:t>
      </w:r>
      <w:r>
        <w:rPr>
          <w:i/>
        </w:rPr>
        <w:t>visibility-bias</w:t>
      </w:r>
      <w:r>
        <w:t xml:space="preserve"> limitation that operates at the case-selection layer separately from publication bias on individual cases (Bail, 2024); null-result and quietly-deployed AI-in-research projects are systematically under-represented. The recording unit for coding is the (role × case) cell, the context unit is the full case file plus its registered secondary sources, and the encounter sequence directs the coder to read the case's abstract and methods before encountering the evidence extracts (Krippendorff, 2019; Hruschka et al., 2004 on recording-unit discipline). The database contains 36 seeded cases, 93 source rows (57 external), 144 evidence extracts, and 612 role-coding rows. All 36 cases are analysis-ready. Every primary source cited is stored locally as full-text PDF or lawful green-OA deposit; four cases (Cases 1, 5, 35, 36) additionally required institutional PDF retrieval for their original journal pages, which is now complete. After a full-text review pass, 437 of the 612 role-coding rows are high-confidence, 165 are medium-confidence, and only 10 remain low-confidence, so the comparative claims below rest on direct source evidence rather than on workbook defaults. The cases cover eight family clusters, with particularly strong representation in predictive simulation and design, measurement and coding, evidence synthesis, qualitative interpretation, and reproducibility. The purpose of this structure is not merely archival. It creates a comparative frame in which cases can be aligned on role status, evidence strength, research stage, institutional setting, autonomy pressure, task ground truth, and post hoc auditability.</w:t>
      </w:r>
    </w:p>
    <w:p>
      <w:r>
        <w:t>Role-status assignment is a form of content analysis (Krippendorff's tradition; see Stemler, 2001; Duriau, Reger, &amp; Pfarrer, 2007 for organizational content-analysis practice; Hruschka et al., 2004 on coding open-ended data with explicit reliability protocols). The coding logic begins from a starting typology that includes relevance adjudication, mechanism discipline, construct and perspective boundary setting, corpus pluralism, protocol and provenance architecture, counterfactual and transportability judgment, situated interlocution or context witnessing, and accountability or labor allocation. It then permits three kinds of revision pressure. Some starting roles may split, as when calibration work becomes visible as a distinct role rather than a subpart of transportability judgment. Some roles may merge or prove to have been mis-specified. And some recurring activities may be better described not as durable roles but as shrinking task-clusters, especially where routine throughput dominates the work.</w:t>
      </w:r>
    </w:p>
    <w:p>
      <w:r>
        <w:t xml:space="preserve">The rubric in Table 1 was developed iteratively. Behavioral anchors are operationalizations of the role-construct in the validity sense developed in measurement theory: anchors are observable features that license inferences about the underlying status, and the rubric's claim is to construct validity in the Cronbach-Meehl-Messick lineage (Cronbach &amp; Meehl, 1955; Messick, 1995; Borsboom, Mellenbergh, &amp; van Heerden, 2004), where validity is a property of inferences rather than of the instrument alone. The mutability of the typology — its capacity to admit split and merge pressure — follows the typology-as-theory-building tradition: typologies in organization research are productive when they are revisable under empirical pressure, not when they are fixed (Doty &amp; Glick, 1994; Fiss, 2011; Delbridge &amp; Fiss, 2013; Cornelissen, 2017; Cornelissen, Höllerer, &amp; Seidl, 2021). The role-system rubric performs configurational theorizing in the sense developed by Furnari, Crilly, Misangyi, Greckhamer, Fiss, and Aguilera (2021): the typology's mutability operationalizes their </w:t>
      </w:r>
      <w:r>
        <w:rPr>
          <w:i/>
        </w:rPr>
        <w:t>scoping</w:t>
      </w:r>
      <w:r>
        <w:t xml:space="preserve">, </w:t>
      </w:r>
      <w:r>
        <w:rPr>
          <w:i/>
        </w:rPr>
        <w:t>linking</w:t>
      </w:r>
      <w:r>
        <w:t xml:space="preserve">, and </w:t>
      </w:r>
      <w:r>
        <w:rPr>
          <w:i/>
        </w:rPr>
        <w:t>naming</w:t>
      </w:r>
      <w:r>
        <w:t xml:space="preserve"> heuristics through the comparative case audit, and places the manuscript inside the </w:t>
      </w:r>
      <w:r>
        <w:rPr>
          <w:i/>
        </w:rPr>
        <w:t>neo-configurational perspective</w:t>
      </w:r>
      <w:r>
        <w:t xml:space="preserve"> that Misangyi, Greckhamer, Furnari, Fiss, Crilly, and Aguilera (2017) identify as the contemporary inheritor of Ragin's qualitative-comparative tradition — case configurations rather than net-effects of individual factors are the inferential object. The rubric grew across four numbered versions: v0.1 (pre-pilot) carried four statuses (robust, conditional, transformed, shrinking); </w:t>
      </w:r>
      <w:r>
        <w:rPr>
          <w:i/>
        </w:rPr>
        <w:t>split pressure</w:t>
      </w:r>
      <w:r>
        <w:t xml:space="preserve"> was added at v0.2 after Case 3 (Gligorić) showed that </w:t>
      </w:r>
      <w:r>
        <w:rPr>
          <w:i/>
        </w:rPr>
        <w:t>construct and perspective boundary setter</w:t>
      </w:r>
      <w:r>
        <w:t xml:space="preserve"> conflated diagnostic and sampling sub-activities; </w:t>
      </w:r>
      <w:r>
        <w:rPr>
          <w:i/>
        </w:rPr>
        <w:t>merge pressure</w:t>
      </w:r>
      <w:r>
        <w:t xml:space="preserve"> was added at v0.3 after Case 10 (Hajishirzi) showed provenance and accountability inseparable in retrieval-augmented synthesis; the conditional-vs-transformed tie-breaker was tightened at v0.4 in response to the Appendix B κ pass. The starting typology was applied to a four-case pilot (Cases 1, 2, 7, 21) drawn from measurement, screening, and synthetic-respondent work; behavioral anchors were refined to resolve the conditional-vs-transformed ambiguity noted in the tie-breaker below the table. The split-pressure and merge-pressure statuses were added after the pilot because the pilot cases forced them: </w:t>
      </w:r>
      <w:r>
        <w:rPr>
          <w:i/>
        </w:rPr>
        <w:t>construct and perspective boundary setter</w:t>
      </w:r>
      <w:r>
        <w:t xml:space="preserve"> split cleanly in Case 3 (Gligorić), and </w:t>
      </w:r>
      <w:r>
        <w:rPr>
          <w:i/>
        </w:rPr>
        <w:t>protocol and provenance architecture</w:t>
      </w:r>
      <w:r>
        <w:t xml:space="preserve"> merged with </w:t>
      </w:r>
      <w:r>
        <w:rPr>
          <w:i/>
        </w:rPr>
        <w:t>accountability and labor allocation</w:t>
      </w:r>
      <w:r>
        <w:t xml:space="preserve"> in Case 10 (Hajishirzi). The decision rule for recording split pressure on a starting-role has two parts: (a) a mechanical threshold — at least two cases within the same primary AI capability show observable status divergence across the conflated sub-activities — and (b) a substantive check that the divergence reflects distinct sub-activities rather than magnitude variation on the same activity. Applied to the eight starting roles, the mechanical threshold triggers on all eight, but </w:t>
      </w:r>
      <w:r>
        <w:rPr>
          <w:i/>
        </w:rPr>
        <w:t>corpus pluralist</w:t>
      </w:r>
      <w:r>
        <w:t xml:space="preserve"> fails the substantive check (its status variation reflects degree of plural sourcing rather than two distinct sub-activities) and is therefore not coded with split pressure. The remaining seven starting roles satisfy both criteria and carry at least one split-pressure observation. Merge pressure is recorded when the evidence for two roles is inseparable within a single case. A date-stamped codebook version history is released with the database.</w:t>
      </w:r>
    </w:p>
    <w:p>
      <w:r>
        <w:t xml:space="preserve">The six statuses can be mapped onto the jurisdictional mechanisms that Abbott (1988) and Freidson (2001) name as constitutive of expert labor. </w:t>
      </w:r>
      <w:r>
        <w:rPr>
          <w:i/>
        </w:rPr>
        <w:t>Robust</w:t>
      </w:r>
      <w:r>
        <w:t xml:space="preserve"> roles correspond to settled human jurisdiction over the activity's </w:t>
      </w:r>
      <w:r>
        <w:rPr>
          <w:i/>
        </w:rPr>
        <w:t>diagnostic</w:t>
      </w:r>
      <w:r>
        <w:t xml:space="preserve"> or </w:t>
      </w:r>
      <w:r>
        <w:rPr>
          <w:i/>
        </w:rPr>
        <w:t>legitimation</w:t>
      </w:r>
      <w:r>
        <w:t xml:space="preserve"> function. </w:t>
      </w:r>
      <w:r>
        <w:rPr>
          <w:i/>
        </w:rPr>
        <w:t>Conditional</w:t>
      </w:r>
      <w:r>
        <w:t xml:space="preserve"> roles correspond to contested jurisdiction where the settlement is unstable and moderator-dependent. </w:t>
      </w:r>
      <w:r>
        <w:rPr>
          <w:i/>
        </w:rPr>
        <w:t>Transformed</w:t>
      </w:r>
      <w:r>
        <w:t xml:space="preserve"> roles correspond to jurisdictional </w:t>
      </w:r>
      <w:r>
        <w:rPr>
          <w:i/>
        </w:rPr>
        <w:t>content revision</w:t>
      </w:r>
      <w:r>
        <w:t xml:space="preserve"> — humans retain the territory but redefine what is done within it. </w:t>
      </w:r>
      <w:r>
        <w:rPr>
          <w:i/>
        </w:rPr>
        <w:t>Shrinking</w:t>
      </w:r>
      <w:r>
        <w:t xml:space="preserve"> task clusters correspond to </w:t>
      </w:r>
      <w:r>
        <w:rPr>
          <w:i/>
        </w:rPr>
        <w:t>deskilling</w:t>
      </w:r>
      <w:r>
        <w:t xml:space="preserve"> and </w:t>
      </w:r>
      <w:r>
        <w:rPr>
          <w:i/>
        </w:rPr>
        <w:t>task-cluster delegation</w:t>
      </w:r>
      <w:r>
        <w:t xml:space="preserve"> to non-human performers. </w:t>
      </w:r>
      <w:r>
        <w:rPr>
          <w:i/>
        </w:rPr>
        <w:t>Split pressure</w:t>
      </w:r>
      <w:r>
        <w:t xml:space="preserve"> corresponds to jurisdictional </w:t>
      </w:r>
      <w:r>
        <w:rPr>
          <w:i/>
        </w:rPr>
        <w:t>segmentation</w:t>
      </w:r>
      <w:r>
        <w:t xml:space="preserve"> (two sub-activities that the original role welded together). </w:t>
      </w:r>
      <w:r>
        <w:rPr>
          <w:i/>
        </w:rPr>
        <w:t>Merge pressure</w:t>
      </w:r>
      <w:r>
        <w:t xml:space="preserve"> corresponds to jurisdictional </w:t>
      </w:r>
      <w:r>
        <w:rPr>
          <w:i/>
        </w:rPr>
        <w:t>consolidation</w:t>
      </w:r>
      <w:r>
        <w:t xml:space="preserve"> (two formerly distinct activities whose evidence is no longer separable). The rubric's behavioral anchors are therefore operationalizations of jurisdictional mechanisms, not atheoretical labels.</w:t>
      </w:r>
    </w:p>
    <w:p>
      <w:r>
        <w:t>The comparative design is disciplined in two ways. First, every analytic field traces back to source identifiers plus local files or URLs. Second, the paper treats live-project and autonomy-heavy systems conservatively. Project APE, AgentSociety, and The AI Scientist are included because they stress the typology, not because they settle it. In effect, the database supports a strong comparative typology audit, but not a maximal claim about role disappearance.</w:t>
      </w:r>
    </w:p>
    <w:p>
      <w:r>
        <w:t>H1 and H2 are pattern-level claims aggregating across roles ("durable roles cluster around boundary setting, procedure, calibration, provenance, and accountability"). H3 is a role-level claim tested via a paired sign test across 16 roles with defined V. Tables 2 and 3 report aggregate distributions; §6 reports the confirmatory sign test.</w:t>
      </w:r>
    </w:p>
    <w:p>
      <w:r>
        <w:t>This is a typological audit with association statistics, not a Qualitative Comparative Analysis (QCA). At N = 36 cases × 17 roles, truth-table minimization is non-identified: the configuration space is too large relative to the observed sample to support Boolean reduction. The consistency and coverage measures reported in §4 are used descriptively, not as the inferential engine.</w:t>
      </w:r>
    </w:p>
    <w:p>
      <w:r>
        <w:rPr>
          <w:b/>
        </w:rPr>
        <w:t>Scope conditions.</w:t>
      </w:r>
      <w:r>
        <w:t xml:space="preserve"> The framework's role-status codings are licensed for: (i) published or preprinted research-workflow cases where AI involvement is visibly identified as such; (ii) the 2024–2026 capability window; (iii) English-language venues. The framework is </w:t>
      </w:r>
      <w:r>
        <w:rPr>
          <w:i/>
        </w:rPr>
        <w:t>not</w:t>
      </w:r>
      <w:r>
        <w:t xml:space="preserve"> licensed for: (i) industry-internal or quietly-deployed AI-in-research workflows (the visibility-bias caveat above bites here); (ii) pre-2024 cases where the </w:t>
      </w:r>
      <w:r>
        <w:rPr>
          <w:i/>
        </w:rPr>
        <w:t>transformed</w:t>
      </w:r>
      <w:r>
        <w:t xml:space="preserve"> anchor would be coded against an unobserved baseline; (iii) substantive subfields outside the eight case-family clusters represented (e.g., bench biology, formal economics) where role-system structure may differ. Generalization beyond these scope conditions is empirically open, not assumed.</w:t>
      </w:r>
    </w:p>
    <w:p>
      <w:r>
        <w:t>The rubric operates at the activity-level role, but a role can be carried by performers at four nested levels: (a) the individual researcher's intrapersonal role bundle (Ramarajan, 2014); (b) the research team's division of labor across human and AI members (Woolley et al., 2010; Puranam, 2021 on AI as organizational member); (c) the institution's workflow design, where role-status assignments imply training and accountability infrastructure; and (d) the field-level standard, where rubric-level adoption would constitute a methodological convention. The 36-case repository codes at levels (a) and (b) jointly because case texts do not consistently distinguish them; the v1.1 within-case coding flagged in §3.1 and §6 is the appropriate test for separating the two. Forward-looking predictions in §7 are written at all four levels and are flagged accordingly.</w:t>
      </w:r>
    </w:p>
    <w:p>
      <w:r>
        <w:t xml:space="preserve">Three edge cases in the coding required explicit adjudication rules. (i) </w:t>
      </w:r>
      <w:r>
        <w:rPr>
          <w:i/>
        </w:rPr>
        <w:t>Multi-version cases.</w:t>
      </w:r>
      <w:r>
        <w:t xml:space="preserve"> For preprints that later appeared in a peer-reviewed venue (Cases 25, 32, and 34), we coded the version on which the empirical evidence is strongest — typically the most recent — and recorded the version selection in the case registry's </w:t>
      </w:r>
      <w:r>
        <w:rPr>
          <w:rFonts w:ascii="Consolas" w:hAnsi="Consolas"/>
          <w:sz w:val="21"/>
        </w:rPr>
        <w:t>notes</w:t>
      </w:r>
      <w:r>
        <w:t xml:space="preserve"> column. (ii) </w:t>
      </w:r>
      <w:r>
        <w:rPr>
          <w:i/>
        </w:rPr>
        <w:t>Joint-performance cases</w:t>
      </w:r>
      <w:r>
        <w:t xml:space="preserve"> where human and AI co-execute the role without a clean lead performer are coded </w:t>
      </w:r>
      <w:r>
        <w:rPr>
          <w:rFonts w:ascii="Consolas" w:hAnsi="Consolas"/>
          <w:sz w:val="21"/>
        </w:rPr>
        <w:t>conditional</w:t>
      </w:r>
      <w:r>
        <w:t xml:space="preserve"> by default (the human-performance requirement is contingent on the AI's output), with a </w:t>
      </w:r>
      <w:r>
        <w:rPr>
          <w:rFonts w:ascii="Consolas" w:hAnsi="Consolas"/>
          <w:sz w:val="21"/>
        </w:rPr>
        <w:t>notes</w:t>
      </w:r>
      <w:r>
        <w:t xml:space="preserve"> flag so a second coder can reopen the decision. (iii) </w:t>
      </w:r>
      <w:r>
        <w:rPr>
          <w:i/>
        </w:rPr>
        <w:t>Cases that redefine the role mid-analysis</w:t>
      </w:r>
      <w:r>
        <w:t xml:space="preserve"> (Xiao, n.d., 150-agent multiverse is the clearest instance) are coded on the final role definition used for the paper's inferences, not on the initial framing. Approximately 28 of the 612 cells are tagged with one of these three edge-case notes in the released database.</w:t>
      </w:r>
    </w:p>
    <w:p>
      <w:r>
        <w:t xml:space="preserve">Figure 1 is a coder-workflow schematic showing the order in which a coder consults the rubric's decision points when applying Table 1 to a new (role × case) cell. It is not a decision tree over rubric </w:t>
      </w:r>
      <w:r>
        <w:rPr>
          <w:i/>
        </w:rPr>
        <w:t>outputs</w:t>
      </w:r>
      <w:r>
        <w:t xml:space="preserve"> — the six statuses are not strictly hierarchical — but it records the sequence in which observability, reconfiguration, and the conditional-vs-transformed tie-breaker are checked. The feedback edge to </w:t>
      </w:r>
      <w:r>
        <w:rPr>
          <w:i/>
        </w:rPr>
        <w:t>rubric revision</w:t>
      </w:r>
      <w:r>
        <w:t xml:space="preserve"> annotates (rather than asserts) the downstream pressure that </w:t>
      </w:r>
      <w:r>
        <w:rPr>
          <w:i/>
        </w:rPr>
        <w:t>split</w:t>
      </w:r>
      <w:r>
        <w:t xml:space="preserve"> and </w:t>
      </w:r>
      <w:r>
        <w:rPr>
          <w:i/>
        </w:rPr>
        <w:t>merge</w:t>
      </w:r>
      <w:r>
        <w:t xml:space="preserve"> codings place on the rubric itself. Table 1 specifies the rubric's diagnostic criteria by status.</w:t>
      </w:r>
    </w:p>
    <w:p>
      <w:r>
        <w:drawing>
          <wp:inline xmlns:a="http://schemas.openxmlformats.org/drawingml/2006/main" xmlns:pic="http://schemas.openxmlformats.org/drawingml/2006/picture">
            <wp:extent cx="5486400" cy="3214255"/>
            <wp:docPr id="1" name="Picture 1"/>
            <wp:cNvGraphicFramePr>
              <a:graphicFrameLocks noChangeAspect="1"/>
            </wp:cNvGraphicFramePr>
            <a:graphic>
              <a:graphicData uri="http://schemas.openxmlformats.org/drawingml/2006/picture">
                <pic:pic>
                  <pic:nvPicPr>
                    <pic:cNvPr id="0" name="figure_1_decision_flow.png"/>
                    <pic:cNvPicPr/>
                  </pic:nvPicPr>
                  <pic:blipFill>
                    <a:blip r:embed="rId9"/>
                    <a:stretch>
                      <a:fillRect/>
                    </a:stretch>
                  </pic:blipFill>
                  <pic:spPr>
                    <a:xfrm>
                      <a:off x="0" y="0"/>
                      <a:ext cx="5486400" cy="3214255"/>
                    </a:xfrm>
                    <a:prstGeom prst="rect"/>
                  </pic:spPr>
                </pic:pic>
              </a:graphicData>
            </a:graphic>
          </wp:inline>
        </w:drawing>
      </w:r>
    </w:p>
    <w:p>
      <w:r>
        <w:t>Before reporting the role-status distribution, Table 1 specifies the rubric used to code it.</w:t>
      </w:r>
    </w:p>
    <w:p>
      <w:r>
        <w:rPr>
          <w:b/>
        </w:rPr>
        <w:t>Table 1. Role-status rubric with behavioral anchors.</w:t>
      </w:r>
      <w:r>
        <w:t xml:space="preserve"> Each status is defined by observable features of the case so that a second coder can apply the rubric without consulting the authors. Rows are mutually exclusive within a (role × case) cell but not across cells of the same role: a single role may be </w:t>
      </w:r>
      <w:r>
        <w:rPr>
          <w:i/>
        </w:rPr>
        <w:t>robust</w:t>
      </w:r>
      <w:r>
        <w:t xml:space="preserve"> in one case and </w:t>
      </w:r>
      <w:r>
        <w:rPr>
          <w:i/>
        </w:rPr>
        <w:t>shrinking</w:t>
      </w:r>
      <w:r>
        <w:t xml:space="preserve"> in another.</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rPr>
            </w:r>
            <w:r>
              <w:rPr>
                <w:b/>
              </w:rPr>
              <w:t>Status</w:t>
            </w:r>
          </w:p>
        </w:tc>
        <w:tc>
          <w:tcPr>
            <w:tcW w:type="dxa" w:w="2160"/>
          </w:tcPr>
          <w:p>
            <w:r>
              <w:rPr>
                <w:b/>
              </w:rPr>
            </w:r>
            <w:r>
              <w:rPr>
                <w:b/>
              </w:rPr>
              <w:t>Operational definition</w:t>
            </w:r>
          </w:p>
        </w:tc>
        <w:tc>
          <w:tcPr>
            <w:tcW w:type="dxa" w:w="2160"/>
          </w:tcPr>
          <w:p>
            <w:r>
              <w:rPr>
                <w:b/>
              </w:rPr>
            </w:r>
            <w:r>
              <w:rPr>
                <w:b/>
              </w:rPr>
              <w:t>Diagnostic criterion — signature pattern and its behavioral indicators</w:t>
            </w:r>
          </w:p>
        </w:tc>
        <w:tc>
          <w:tcPr>
            <w:tcW w:type="dxa" w:w="2160"/>
          </w:tcPr>
          <w:p>
            <w:r>
              <w:rPr>
                <w:b/>
              </w:rPr>
            </w:r>
            <w:r>
              <w:rPr>
                <w:b/>
              </w:rPr>
              <w:t xml:space="preserve">Counter-indicator (evidence </w:t>
            </w:r>
            <w:r>
              <w:rPr>
                <w:b/>
                <w:i/>
              </w:rPr>
              <w:t>against</w:t>
            </w:r>
            <w:r>
              <w:rPr>
                <w:b/>
              </w:rPr>
              <w:t>)</w:t>
            </w:r>
          </w:p>
        </w:tc>
      </w:tr>
      <w:tr>
        <w:tc>
          <w:tcPr>
            <w:tcW w:type="dxa" w:w="2160"/>
          </w:tcPr>
          <w:p>
            <w:r/>
            <w:r>
              <w:t>Robust</w:t>
            </w:r>
          </w:p>
        </w:tc>
        <w:tc>
          <w:tcPr>
            <w:tcW w:type="dxa" w:w="2160"/>
          </w:tcPr>
          <w:p>
            <w:r/>
            <w:r>
              <w:t xml:space="preserve">The role is performed by humans and is treated by the case authors as load-bearing for the study's inferences. (The rubric operationalizes </w:t>
            </w:r>
            <w:r>
              <w:rPr>
                <w:i/>
              </w:rPr>
              <w:t>author-stated</w:t>
            </w:r>
            <w:r>
              <w:t xml:space="preserve"> load-bearingness as an observable proxy for contribution to epistemic validity; it does not independently adjudicate whether the role genuinely warrants the inferences.)</w:t>
            </w:r>
          </w:p>
        </w:tc>
        <w:tc>
          <w:tcPr>
            <w:tcW w:type="dxa" w:w="2160"/>
          </w:tcPr>
          <w:p>
            <w:r/>
            <w:r>
              <w:t>(a) A section heading, methods paragraph, or limitations paragraph names this role (or a near-synonym) as load-bearing for the study's inferences; (b) authors specify human labor at this step and describe why AI substitution would not preserve validity; (c) the role recurs in the reported limitations as a constraint on what the study can claim.</w:t>
            </w:r>
          </w:p>
        </w:tc>
        <w:tc>
          <w:tcPr>
            <w:tcW w:type="dxa" w:w="2160"/>
          </w:tcPr>
          <w:p>
            <w:r/>
            <w:r>
              <w:t>Case reports AI performing the role without human checking and reports no validity loss.</w:t>
            </w:r>
          </w:p>
        </w:tc>
      </w:tr>
      <w:tr>
        <w:tc>
          <w:tcPr>
            <w:tcW w:type="dxa" w:w="2160"/>
          </w:tcPr>
          <w:p>
            <w:r/>
            <w:r>
              <w:t>Conditional</w:t>
            </w:r>
          </w:p>
        </w:tc>
        <w:tc>
          <w:tcPr>
            <w:tcW w:type="dxa" w:w="2160"/>
          </w:tcPr>
          <w:p>
            <w:r/>
            <w:r>
              <w:t>The role is performed by humans contingent on specified moderators (task features, data quality, institutional setting); AI can partially substitute outside those moderators.</w:t>
            </w:r>
          </w:p>
        </w:tc>
        <w:tc>
          <w:tcPr>
            <w:tcW w:type="dxa" w:w="2160"/>
          </w:tcPr>
          <w:p>
            <w:r/>
            <w:r>
              <w:t>(a) Case specifies the conditions under which human performance is needed; (b) reports empirical variation in AI adequacy across those conditions; (c) retains a human-in-the-loop step for edge cases.</w:t>
            </w:r>
          </w:p>
        </w:tc>
        <w:tc>
          <w:tcPr>
            <w:tcW w:type="dxa" w:w="2160"/>
          </w:tcPr>
          <w:p>
            <w:r/>
            <w:r>
              <w:t>Case reports blanket human or blanket AI performance with no moderator analysis.</w:t>
            </w:r>
          </w:p>
        </w:tc>
      </w:tr>
      <w:tr>
        <w:tc>
          <w:tcPr>
            <w:tcW w:type="dxa" w:w="2160"/>
          </w:tcPr>
          <w:p>
            <w:r/>
            <w:r>
              <w:t>Transformed</w:t>
            </w:r>
          </w:p>
        </w:tc>
        <w:tc>
          <w:tcPr>
            <w:tcW w:type="dxa" w:w="2160"/>
          </w:tcPr>
          <w:p>
            <w:r/>
            <w:r>
              <w:t>The role persists but its content has been redefined around AI involvement (e.g., from drafting to reviewing, from coding to auditing, from authoring to disclosing).</w:t>
            </w:r>
          </w:p>
        </w:tc>
        <w:tc>
          <w:tcPr>
            <w:tcW w:type="dxa" w:w="2160"/>
          </w:tcPr>
          <w:p>
            <w:r/>
            <w:r>
              <w:t>(a) Authors explicitly flag a change in what humans do at this step, using before/after language or a verb swap (e.g., "write" → "review"); (b) new sub-tasks (disclosure, credit allocation, calibration audit) are introduced and named as new; (c) the case reports at least one human activity at this step that would not be recognizable in a pre-AI description of the role.</w:t>
            </w:r>
          </w:p>
        </w:tc>
        <w:tc>
          <w:tcPr>
            <w:tcW w:type="dxa" w:w="2160"/>
          </w:tcPr>
          <w:p>
            <w:r/>
            <w:r>
              <w:t>Case reports the role as unchanged, or reports it as absent.</w:t>
            </w:r>
          </w:p>
        </w:tc>
      </w:tr>
      <w:tr>
        <w:tc>
          <w:tcPr>
            <w:tcW w:type="dxa" w:w="2160"/>
          </w:tcPr>
          <w:p>
            <w:r/>
            <w:r>
              <w:t>Shrinking</w:t>
            </w:r>
          </w:p>
        </w:tc>
        <w:tc>
          <w:tcPr>
            <w:tcW w:type="dxa" w:w="2160"/>
          </w:tcPr>
          <w:p>
            <w:r/>
            <w:r>
              <w:t>The task-cluster is increasingly performed by AI with human labor reduced to audit or exception handling; the role label is retained but its scope has contracted.</w:t>
            </w:r>
          </w:p>
        </w:tc>
        <w:tc>
          <w:tcPr>
            <w:tcW w:type="dxa" w:w="2160"/>
          </w:tcPr>
          <w:p>
            <w:r/>
            <w:r>
              <w:t>(a) Public ground truth or high-consensus targets exist; (b) case reports AI matching or exceeding human performance on a defined subset; (c) residual human labor is characterized as rescue, triage, or verification.</w:t>
            </w:r>
          </w:p>
        </w:tc>
        <w:tc>
          <w:tcPr>
            <w:tcW w:type="dxa" w:w="2160"/>
          </w:tcPr>
          <w:p>
            <w:r/>
            <w:r>
              <w:t>No public ground truth; disagreement across coders is the inferential object.</w:t>
            </w:r>
          </w:p>
        </w:tc>
      </w:tr>
      <w:tr>
        <w:tc>
          <w:tcPr>
            <w:tcW w:type="dxa" w:w="2160"/>
          </w:tcPr>
          <w:p>
            <w:r/>
            <w:r>
              <w:t>Split pressure</w:t>
            </w:r>
          </w:p>
        </w:tc>
        <w:tc>
          <w:tcPr>
            <w:tcW w:type="dxa" w:w="2160"/>
          </w:tcPr>
          <w:p>
            <w:r/>
            <w:r>
              <w:t xml:space="preserve">The case reveals that the starting role conflates two distinct activities that should be coded separately (e.g., </w:t>
            </w:r>
            <w:r>
              <w:rPr>
                <w:i/>
              </w:rPr>
              <w:t>construct boundary setting</w:t>
            </w:r>
            <w:r>
              <w:t xml:space="preserve"> and </w:t>
            </w:r>
            <w:r>
              <w:rPr>
                <w:i/>
              </w:rPr>
              <w:t>perspective sampling</w:t>
            </w:r>
            <w:r>
              <w:t>).</w:t>
            </w:r>
          </w:p>
        </w:tc>
        <w:tc>
          <w:tcPr>
            <w:tcW w:type="dxa" w:w="2160"/>
          </w:tcPr>
          <w:p>
            <w:r/>
            <w:r>
              <w:t>(a) AI performance differs systematically across the conflated sub-activities; (b) the case's own analysis distinguishes them; (c) collapsing them back into one role loses substantive information.</w:t>
            </w:r>
          </w:p>
        </w:tc>
        <w:tc>
          <w:tcPr>
            <w:tcW w:type="dxa" w:w="2160"/>
          </w:tcPr>
          <w:p>
            <w:r/>
            <w:r>
              <w:t>Case treats the role as indivisible and the evidence supports that treatment.</w:t>
            </w:r>
          </w:p>
        </w:tc>
      </w:tr>
      <w:tr>
        <w:tc>
          <w:tcPr>
            <w:tcW w:type="dxa" w:w="2160"/>
          </w:tcPr>
          <w:p>
            <w:r/>
            <w:r>
              <w:t>Merge pressure</w:t>
            </w:r>
          </w:p>
        </w:tc>
        <w:tc>
          <w:tcPr>
            <w:tcW w:type="dxa" w:w="2160"/>
          </w:tcPr>
          <w:p>
            <w:r/>
            <w:r>
              <w:t xml:space="preserve">The case reveals that two starting roles are entangled in practice and cannot be cleanly separated without losing information (e.g., </w:t>
            </w:r>
            <w:r>
              <w:rPr>
                <w:i/>
              </w:rPr>
              <w:t>authorship</w:t>
            </w:r>
            <w:r>
              <w:t xml:space="preserve"> and </w:t>
            </w:r>
            <w:r>
              <w:rPr>
                <w:i/>
              </w:rPr>
              <w:t>labor allocation</w:t>
            </w:r>
            <w:r>
              <w:t xml:space="preserve"> in LLM-assisted drafting).</w:t>
            </w:r>
          </w:p>
        </w:tc>
        <w:tc>
          <w:tcPr>
            <w:tcW w:type="dxa" w:w="2160"/>
          </w:tcPr>
          <w:p>
            <w:r/>
            <w:r>
              <w:t>(a) The case's evidence for one role is inseparable from evidence for the other; (b) attempting to code them independently produces arbitrary splits; (c) the case authors themselves treat the two as a joint object.</w:t>
            </w:r>
          </w:p>
        </w:tc>
        <w:tc>
          <w:tcPr>
            <w:tcW w:type="dxa" w:w="2160"/>
          </w:tcPr>
          <w:p>
            <w:r/>
            <w:r>
              <w:t>The two roles are coded independently with no loss of information.</w:t>
            </w:r>
          </w:p>
        </w:tc>
      </w:tr>
    </w:tbl>
    <w:p/>
    <w:p>
      <w:r>
        <w:t xml:space="preserve">When a case satisfies indicators for both </w:t>
      </w:r>
      <w:r>
        <w:rPr>
          <w:i/>
        </w:rPr>
        <w:t>conditional</w:t>
      </w:r>
      <w:r>
        <w:t xml:space="preserve"> and </w:t>
      </w:r>
      <w:r>
        <w:rPr>
          <w:i/>
        </w:rPr>
        <w:t>transformed</w:t>
      </w:r>
      <w:r>
        <w:t xml:space="preserve">, apply the three-part tie-breaker. (i) </w:t>
      </w:r>
      <w:r>
        <w:rPr>
          <w:i/>
        </w:rPr>
        <w:t>Conditional</w:t>
      </w:r>
      <w:r>
        <w:t xml:space="preserve"> requires the case to name at least one </w:t>
      </w:r>
      <w:r>
        <w:rPr>
          <w:b/>
        </w:rPr>
        <w:t>explicit moderator variable</w:t>
      </w:r>
      <w:r>
        <w:t xml:space="preserve"> — a specific feature of the task, data, or institutional setting — under which human performance is needed. Inference from adjacent discussion is not sufficient. (ii) </w:t>
      </w:r>
      <w:r>
        <w:rPr>
          <w:i/>
        </w:rPr>
        <w:t>Transformed</w:t>
      </w:r>
      <w:r>
        <w:t xml:space="preserve"> requires at least one </w:t>
      </w:r>
      <w:r>
        <w:rPr>
          <w:b/>
        </w:rPr>
        <w:t>explicit role-content change</w:t>
      </w:r>
      <w:r>
        <w:t xml:space="preserve"> — a named new sub-task, a before/after verb swap, or an activity that would not be recognizable in a pre-AI description of the role. Mere presence of AI in the workflow is not sufficient. (iii) If neither (i) nor (ii) can be documented with a quotable sentence from the case file, the cell defaults to </w:t>
      </w:r>
      <w:r>
        <w:rPr>
          <w:i/>
        </w:rPr>
        <w:t>unclear</w:t>
      </w:r>
      <w:r>
        <w:t xml:space="preserve">, not to either candidate status. The </w:t>
      </w:r>
      <w:r>
        <w:rPr>
          <w:rFonts w:ascii="Consolas" w:hAnsi="Consolas"/>
          <w:sz w:val="21"/>
        </w:rPr>
        <w:t>observable</w:t>
      </w:r>
      <w:r>
        <w:t>-vs-</w:t>
      </w:r>
      <w:r>
        <w:rPr>
          <w:rFonts w:ascii="Consolas" w:hAnsi="Consolas"/>
          <w:sz w:val="21"/>
        </w:rPr>
        <w:t>not_applicable</w:t>
      </w:r>
      <w:r>
        <w:t xml:space="preserve"> threshold is correspondingly strict: a role is observable only if the case file contains at least one sentence that could be quoted as evidence of that activity being performed or deliberately not performed. This tighter tie-breaker was introduced in response to the Appendix B reliability pass (Cohen's κ = 0.289), which identified the conditional-vs-transformed distinction and the observable-vs-</w:t>
      </w:r>
      <w:r>
        <w:rPr>
          <w:rFonts w:ascii="Consolas" w:hAnsi="Consolas"/>
          <w:sz w:val="21"/>
        </w:rPr>
        <w:t>not_applicable</w:t>
      </w:r>
      <w:r>
        <w:t xml:space="preserve"> threshold as the two most-common disagreement axes.</w:t>
      </w:r>
    </w:p>
    <w:p>
      <w:r>
        <w:t>With the rubric in hand, Table 2 reports the role × status counts that §§3–5 unpack.</w:t>
      </w:r>
    </w:p>
    <w:p>
      <w:r>
        <w:rPr>
          <w:b/>
        </w:rPr>
        <w:t>Table 2. Role × status counts across all 36 cases.</w:t>
      </w:r>
      <w:r>
        <w:t xml:space="preserve"> Counts are case-level: the unit is one role × one case. Columns </w:t>
      </w:r>
      <w:r>
        <w:rPr>
          <w:rFonts w:ascii="Consolas" w:hAnsi="Consolas"/>
          <w:sz w:val="21"/>
        </w:rPr>
        <w:t>unclear</w:t>
      </w:r>
      <w:r>
        <w:t xml:space="preserve"> and </w:t>
      </w:r>
      <w:r>
        <w:rPr>
          <w:rFonts w:ascii="Consolas" w:hAnsi="Consolas"/>
          <w:sz w:val="21"/>
        </w:rPr>
        <w:t>not_applicable</w:t>
      </w:r>
      <w:r>
        <w:t xml:space="preserve"> are the complements that sum rows to 36.</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r>
            <w:r>
              <w:rPr>
                <w:b/>
              </w:rPr>
              <w:t>Role</w:t>
            </w:r>
          </w:p>
        </w:tc>
        <w:tc>
          <w:tcPr>
            <w:tcW w:type="dxa" w:w="864"/>
          </w:tcPr>
          <w:p>
            <w:r>
              <w:rPr>
                <w:b/>
              </w:rPr>
            </w:r>
            <w:r>
              <w:rPr>
                <w:b/>
              </w:rPr>
              <w:t>Role group</w:t>
            </w:r>
          </w:p>
        </w:tc>
        <w:tc>
          <w:tcPr>
            <w:tcW w:type="dxa" w:w="864"/>
          </w:tcPr>
          <w:p>
            <w:r>
              <w:rPr>
                <w:b/>
              </w:rPr>
            </w:r>
            <w:r>
              <w:rPr>
                <w:b/>
              </w:rPr>
              <w:t>Robust</w:t>
            </w:r>
          </w:p>
        </w:tc>
        <w:tc>
          <w:tcPr>
            <w:tcW w:type="dxa" w:w="864"/>
          </w:tcPr>
          <w:p>
            <w:r>
              <w:rPr>
                <w:b/>
              </w:rPr>
            </w:r>
            <w:r>
              <w:rPr>
                <w:b/>
              </w:rPr>
              <w:t>Conditional</w:t>
            </w:r>
          </w:p>
        </w:tc>
        <w:tc>
          <w:tcPr>
            <w:tcW w:type="dxa" w:w="864"/>
          </w:tcPr>
          <w:p>
            <w:r>
              <w:rPr>
                <w:b/>
              </w:rPr>
            </w:r>
            <w:r>
              <w:rPr>
                <w:b/>
              </w:rPr>
              <w:t>Transformed</w:t>
            </w:r>
          </w:p>
        </w:tc>
        <w:tc>
          <w:tcPr>
            <w:tcW w:type="dxa" w:w="864"/>
          </w:tcPr>
          <w:p>
            <w:r>
              <w:rPr>
                <w:b/>
              </w:rPr>
            </w:r>
            <w:r>
              <w:rPr>
                <w:b/>
              </w:rPr>
              <w:t>Shrinking</w:t>
            </w:r>
          </w:p>
        </w:tc>
        <w:tc>
          <w:tcPr>
            <w:tcW w:type="dxa" w:w="864"/>
          </w:tcPr>
          <w:p>
            <w:r>
              <w:rPr>
                <w:b/>
              </w:rPr>
            </w:r>
            <w:r>
              <w:rPr>
                <w:b/>
              </w:rPr>
              <w:t>Split pressure</w:t>
            </w:r>
          </w:p>
        </w:tc>
        <w:tc>
          <w:tcPr>
            <w:tcW w:type="dxa" w:w="864"/>
          </w:tcPr>
          <w:p>
            <w:r>
              <w:rPr>
                <w:b/>
              </w:rPr>
            </w:r>
            <w:r>
              <w:rPr>
                <w:b/>
              </w:rPr>
              <w:t>Merge pressure</w:t>
            </w:r>
          </w:p>
        </w:tc>
        <w:tc>
          <w:tcPr>
            <w:tcW w:type="dxa" w:w="864"/>
          </w:tcPr>
          <w:p>
            <w:r>
              <w:rPr>
                <w:b/>
              </w:rPr>
            </w:r>
            <w:r>
              <w:rPr>
                <w:b/>
              </w:rPr>
              <w:t>Unclear</w:t>
            </w:r>
          </w:p>
        </w:tc>
        <w:tc>
          <w:tcPr>
            <w:tcW w:type="dxa" w:w="864"/>
          </w:tcPr>
          <w:p>
            <w:r>
              <w:rPr>
                <w:b/>
              </w:rPr>
            </w:r>
            <w:r>
              <w:rPr>
                <w:b/>
              </w:rPr>
              <w:t>Not applicable</w:t>
            </w:r>
          </w:p>
        </w:tc>
      </w:tr>
      <w:tr>
        <w:tc>
          <w:tcPr>
            <w:tcW w:type="dxa" w:w="864"/>
          </w:tcPr>
          <w:p>
            <w:r/>
            <w:r>
              <w:t>Relevance adjudicator</w:t>
            </w:r>
          </w:p>
        </w:tc>
        <w:tc>
          <w:tcPr>
            <w:tcW w:type="dxa" w:w="864"/>
          </w:tcPr>
          <w:p>
            <w:r/>
            <w:r>
              <w:t>starting_role</w:t>
            </w:r>
          </w:p>
        </w:tc>
        <w:tc>
          <w:tcPr>
            <w:tcW w:type="dxa" w:w="864"/>
          </w:tcPr>
          <w:p>
            <w:r/>
            <w:r>
              <w:t>1</w:t>
            </w:r>
          </w:p>
        </w:tc>
        <w:tc>
          <w:tcPr>
            <w:tcW w:type="dxa" w:w="864"/>
          </w:tcPr>
          <w:p>
            <w:r/>
            <w:r>
              <w:t>8</w:t>
            </w:r>
          </w:p>
        </w:tc>
        <w:tc>
          <w:tcPr>
            <w:tcW w:type="dxa" w:w="864"/>
          </w:tcPr>
          <w:p>
            <w:r/>
            <w:r>
              <w:t>3</w:t>
            </w:r>
          </w:p>
        </w:tc>
        <w:tc>
          <w:tcPr>
            <w:tcW w:type="dxa" w:w="864"/>
          </w:tcPr>
          <w:p>
            <w:r/>
            <w:r>
              <w:t>0</w:t>
            </w:r>
          </w:p>
        </w:tc>
        <w:tc>
          <w:tcPr>
            <w:tcW w:type="dxa" w:w="864"/>
          </w:tcPr>
          <w:p>
            <w:r/>
            <w:r>
              <w:t>1</w:t>
            </w:r>
          </w:p>
        </w:tc>
        <w:tc>
          <w:tcPr>
            <w:tcW w:type="dxa" w:w="864"/>
          </w:tcPr>
          <w:p>
            <w:r/>
            <w:r>
              <w:t>0</w:t>
            </w:r>
          </w:p>
        </w:tc>
        <w:tc>
          <w:tcPr>
            <w:tcW w:type="dxa" w:w="864"/>
          </w:tcPr>
          <w:p>
            <w:r/>
            <w:r>
              <w:t>6</w:t>
            </w:r>
          </w:p>
        </w:tc>
        <w:tc>
          <w:tcPr>
            <w:tcW w:type="dxa" w:w="864"/>
          </w:tcPr>
          <w:p>
            <w:r/>
            <w:r>
              <w:t>17</w:t>
            </w:r>
          </w:p>
        </w:tc>
      </w:tr>
      <w:tr>
        <w:tc>
          <w:tcPr>
            <w:tcW w:type="dxa" w:w="864"/>
          </w:tcPr>
          <w:p>
            <w:r/>
            <w:r>
              <w:t>Mechanism disciplinarian</w:t>
            </w:r>
          </w:p>
        </w:tc>
        <w:tc>
          <w:tcPr>
            <w:tcW w:type="dxa" w:w="864"/>
          </w:tcPr>
          <w:p>
            <w:r/>
            <w:r>
              <w:t>starting_role</w:t>
            </w:r>
          </w:p>
        </w:tc>
        <w:tc>
          <w:tcPr>
            <w:tcW w:type="dxa" w:w="864"/>
          </w:tcPr>
          <w:p>
            <w:r/>
            <w:r>
              <w:t>2</w:t>
            </w:r>
          </w:p>
        </w:tc>
        <w:tc>
          <w:tcPr>
            <w:tcW w:type="dxa" w:w="864"/>
          </w:tcPr>
          <w:p>
            <w:r/>
            <w:r>
              <w:t>6</w:t>
            </w:r>
          </w:p>
        </w:tc>
        <w:tc>
          <w:tcPr>
            <w:tcW w:type="dxa" w:w="864"/>
          </w:tcPr>
          <w:p>
            <w:r/>
            <w:r>
              <w:t>2</w:t>
            </w:r>
          </w:p>
        </w:tc>
        <w:tc>
          <w:tcPr>
            <w:tcW w:type="dxa" w:w="864"/>
          </w:tcPr>
          <w:p>
            <w:r/>
            <w:r>
              <w:t>0</w:t>
            </w:r>
          </w:p>
        </w:tc>
        <w:tc>
          <w:tcPr>
            <w:tcW w:type="dxa" w:w="864"/>
          </w:tcPr>
          <w:p>
            <w:r/>
            <w:r>
              <w:t>4</w:t>
            </w:r>
          </w:p>
        </w:tc>
        <w:tc>
          <w:tcPr>
            <w:tcW w:type="dxa" w:w="864"/>
          </w:tcPr>
          <w:p>
            <w:r/>
            <w:r>
              <w:t>0</w:t>
            </w:r>
          </w:p>
        </w:tc>
        <w:tc>
          <w:tcPr>
            <w:tcW w:type="dxa" w:w="864"/>
          </w:tcPr>
          <w:p>
            <w:r/>
            <w:r>
              <w:t>4</w:t>
            </w:r>
          </w:p>
        </w:tc>
        <w:tc>
          <w:tcPr>
            <w:tcW w:type="dxa" w:w="864"/>
          </w:tcPr>
          <w:p>
            <w:r/>
            <w:r>
              <w:t>18</w:t>
            </w:r>
          </w:p>
        </w:tc>
      </w:tr>
      <w:tr>
        <w:tc>
          <w:tcPr>
            <w:tcW w:type="dxa" w:w="864"/>
          </w:tcPr>
          <w:p>
            <w:r/>
            <w:r>
              <w:t>Construct and perspective boundary setter</w:t>
            </w:r>
          </w:p>
        </w:tc>
        <w:tc>
          <w:tcPr>
            <w:tcW w:type="dxa" w:w="864"/>
          </w:tcPr>
          <w:p>
            <w:r/>
            <w:r>
              <w:t>starting_role</w:t>
            </w:r>
          </w:p>
        </w:tc>
        <w:tc>
          <w:tcPr>
            <w:tcW w:type="dxa" w:w="864"/>
          </w:tcPr>
          <w:p>
            <w:r/>
            <w:r>
              <w:t>3</w:t>
            </w:r>
          </w:p>
        </w:tc>
        <w:tc>
          <w:tcPr>
            <w:tcW w:type="dxa" w:w="864"/>
          </w:tcPr>
          <w:p>
            <w:r/>
            <w:r>
              <w:t>4</w:t>
            </w:r>
          </w:p>
        </w:tc>
        <w:tc>
          <w:tcPr>
            <w:tcW w:type="dxa" w:w="864"/>
          </w:tcPr>
          <w:p>
            <w:r/>
            <w:r>
              <w:t>2</w:t>
            </w:r>
          </w:p>
        </w:tc>
        <w:tc>
          <w:tcPr>
            <w:tcW w:type="dxa" w:w="864"/>
          </w:tcPr>
          <w:p>
            <w:r/>
            <w:r>
              <w:t>0</w:t>
            </w:r>
          </w:p>
        </w:tc>
        <w:tc>
          <w:tcPr>
            <w:tcW w:type="dxa" w:w="864"/>
          </w:tcPr>
          <w:p>
            <w:r/>
            <w:r>
              <w:t>4</w:t>
            </w:r>
          </w:p>
        </w:tc>
        <w:tc>
          <w:tcPr>
            <w:tcW w:type="dxa" w:w="864"/>
          </w:tcPr>
          <w:p>
            <w:r/>
            <w:r>
              <w:t>0</w:t>
            </w:r>
          </w:p>
        </w:tc>
        <w:tc>
          <w:tcPr>
            <w:tcW w:type="dxa" w:w="864"/>
          </w:tcPr>
          <w:p>
            <w:r/>
            <w:r>
              <w:t>1</w:t>
            </w:r>
          </w:p>
        </w:tc>
        <w:tc>
          <w:tcPr>
            <w:tcW w:type="dxa" w:w="864"/>
          </w:tcPr>
          <w:p>
            <w:r/>
            <w:r>
              <w:t>22</w:t>
            </w:r>
          </w:p>
        </w:tc>
      </w:tr>
      <w:tr>
        <w:tc>
          <w:tcPr>
            <w:tcW w:type="dxa" w:w="864"/>
          </w:tcPr>
          <w:p>
            <w:r/>
            <w:r>
              <w:t>Corpus pluralist</w:t>
            </w:r>
          </w:p>
        </w:tc>
        <w:tc>
          <w:tcPr>
            <w:tcW w:type="dxa" w:w="864"/>
          </w:tcPr>
          <w:p>
            <w:r/>
            <w:r>
              <w:t>starting_role</w:t>
            </w:r>
          </w:p>
        </w:tc>
        <w:tc>
          <w:tcPr>
            <w:tcW w:type="dxa" w:w="864"/>
          </w:tcPr>
          <w:p>
            <w:r/>
            <w:r>
              <w:t>2</w:t>
            </w:r>
          </w:p>
        </w:tc>
        <w:tc>
          <w:tcPr>
            <w:tcW w:type="dxa" w:w="864"/>
          </w:tcPr>
          <w:p>
            <w:r/>
            <w:r>
              <w:t>7</w:t>
            </w:r>
          </w:p>
        </w:tc>
        <w:tc>
          <w:tcPr>
            <w:tcW w:type="dxa" w:w="864"/>
          </w:tcPr>
          <w:p>
            <w:r/>
            <w:r>
              <w:t>2</w:t>
            </w:r>
          </w:p>
        </w:tc>
        <w:tc>
          <w:tcPr>
            <w:tcW w:type="dxa" w:w="864"/>
          </w:tcPr>
          <w:p>
            <w:r/>
            <w:r>
              <w:t>0</w:t>
            </w:r>
          </w:p>
        </w:tc>
        <w:tc>
          <w:tcPr>
            <w:tcW w:type="dxa" w:w="864"/>
          </w:tcPr>
          <w:p>
            <w:r/>
            <w:r>
              <w:t>0</w:t>
            </w:r>
          </w:p>
        </w:tc>
        <w:tc>
          <w:tcPr>
            <w:tcW w:type="dxa" w:w="864"/>
          </w:tcPr>
          <w:p>
            <w:r/>
            <w:r>
              <w:t>0</w:t>
            </w:r>
          </w:p>
        </w:tc>
        <w:tc>
          <w:tcPr>
            <w:tcW w:type="dxa" w:w="864"/>
          </w:tcPr>
          <w:p>
            <w:r/>
            <w:r>
              <w:t>2</w:t>
            </w:r>
          </w:p>
        </w:tc>
        <w:tc>
          <w:tcPr>
            <w:tcW w:type="dxa" w:w="864"/>
          </w:tcPr>
          <w:p>
            <w:r/>
            <w:r>
              <w:t>23</w:t>
            </w:r>
          </w:p>
        </w:tc>
      </w:tr>
      <w:tr>
        <w:tc>
          <w:tcPr>
            <w:tcW w:type="dxa" w:w="864"/>
          </w:tcPr>
          <w:p>
            <w:r/>
            <w:r>
              <w:t>Protocol and provenance architect</w:t>
            </w:r>
          </w:p>
        </w:tc>
        <w:tc>
          <w:tcPr>
            <w:tcW w:type="dxa" w:w="864"/>
          </w:tcPr>
          <w:p>
            <w:r/>
            <w:r>
              <w:t>starting_role</w:t>
            </w:r>
          </w:p>
        </w:tc>
        <w:tc>
          <w:tcPr>
            <w:tcW w:type="dxa" w:w="864"/>
          </w:tcPr>
          <w:p>
            <w:r/>
            <w:r>
              <w:t>15</w:t>
            </w:r>
          </w:p>
        </w:tc>
        <w:tc>
          <w:tcPr>
            <w:tcW w:type="dxa" w:w="864"/>
          </w:tcPr>
          <w:p>
            <w:r/>
            <w:r>
              <w:t>5</w:t>
            </w:r>
          </w:p>
        </w:tc>
        <w:tc>
          <w:tcPr>
            <w:tcW w:type="dxa" w:w="864"/>
          </w:tcPr>
          <w:p>
            <w:r/>
            <w:r>
              <w:t>7</w:t>
            </w:r>
          </w:p>
        </w:tc>
        <w:tc>
          <w:tcPr>
            <w:tcW w:type="dxa" w:w="864"/>
          </w:tcPr>
          <w:p>
            <w:r/>
            <w:r>
              <w:t>0</w:t>
            </w:r>
          </w:p>
        </w:tc>
        <w:tc>
          <w:tcPr>
            <w:tcW w:type="dxa" w:w="864"/>
          </w:tcPr>
          <w:p>
            <w:r/>
            <w:r>
              <w:t>4</w:t>
            </w:r>
          </w:p>
        </w:tc>
        <w:tc>
          <w:tcPr>
            <w:tcW w:type="dxa" w:w="864"/>
          </w:tcPr>
          <w:p>
            <w:r/>
            <w:r>
              <w:t>1</w:t>
            </w:r>
          </w:p>
        </w:tc>
        <w:tc>
          <w:tcPr>
            <w:tcW w:type="dxa" w:w="864"/>
          </w:tcPr>
          <w:p>
            <w:r/>
            <w:r>
              <w:t>1</w:t>
            </w:r>
          </w:p>
        </w:tc>
        <w:tc>
          <w:tcPr>
            <w:tcW w:type="dxa" w:w="864"/>
          </w:tcPr>
          <w:p>
            <w:r/>
            <w:r>
              <w:t>3</w:t>
            </w:r>
          </w:p>
        </w:tc>
      </w:tr>
      <w:tr>
        <w:tc>
          <w:tcPr>
            <w:tcW w:type="dxa" w:w="864"/>
          </w:tcPr>
          <w:p>
            <w:r/>
            <w:r>
              <w:t>Counterfactual and transportability judge</w:t>
            </w:r>
          </w:p>
        </w:tc>
        <w:tc>
          <w:tcPr>
            <w:tcW w:type="dxa" w:w="864"/>
          </w:tcPr>
          <w:p>
            <w:r/>
            <w:r>
              <w:t>starting_role</w:t>
            </w:r>
          </w:p>
        </w:tc>
        <w:tc>
          <w:tcPr>
            <w:tcW w:type="dxa" w:w="864"/>
          </w:tcPr>
          <w:p>
            <w:r/>
            <w:r>
              <w:t>2</w:t>
            </w:r>
          </w:p>
        </w:tc>
        <w:tc>
          <w:tcPr>
            <w:tcW w:type="dxa" w:w="864"/>
          </w:tcPr>
          <w:p>
            <w:r/>
            <w:r>
              <w:t>11</w:t>
            </w:r>
          </w:p>
        </w:tc>
        <w:tc>
          <w:tcPr>
            <w:tcW w:type="dxa" w:w="864"/>
          </w:tcPr>
          <w:p>
            <w:r/>
            <w:r>
              <w:t>2</w:t>
            </w:r>
          </w:p>
        </w:tc>
        <w:tc>
          <w:tcPr>
            <w:tcW w:type="dxa" w:w="864"/>
          </w:tcPr>
          <w:p>
            <w:r/>
            <w:r>
              <w:t>0</w:t>
            </w:r>
          </w:p>
        </w:tc>
        <w:tc>
          <w:tcPr>
            <w:tcW w:type="dxa" w:w="864"/>
          </w:tcPr>
          <w:p>
            <w:r/>
            <w:r>
              <w:t>3</w:t>
            </w:r>
          </w:p>
        </w:tc>
        <w:tc>
          <w:tcPr>
            <w:tcW w:type="dxa" w:w="864"/>
          </w:tcPr>
          <w:p>
            <w:r/>
            <w:r>
              <w:t>0</w:t>
            </w:r>
          </w:p>
        </w:tc>
        <w:tc>
          <w:tcPr>
            <w:tcW w:type="dxa" w:w="864"/>
          </w:tcPr>
          <w:p>
            <w:r/>
            <w:r>
              <w:t>0</w:t>
            </w:r>
          </w:p>
        </w:tc>
        <w:tc>
          <w:tcPr>
            <w:tcW w:type="dxa" w:w="864"/>
          </w:tcPr>
          <w:p>
            <w:r/>
            <w:r>
              <w:t>18</w:t>
            </w:r>
          </w:p>
        </w:tc>
      </w:tr>
      <w:tr>
        <w:tc>
          <w:tcPr>
            <w:tcW w:type="dxa" w:w="864"/>
          </w:tcPr>
          <w:p>
            <w:r/>
            <w:r>
              <w:t>Situated interlocutor / context witness</w:t>
            </w:r>
          </w:p>
        </w:tc>
        <w:tc>
          <w:tcPr>
            <w:tcW w:type="dxa" w:w="864"/>
          </w:tcPr>
          <w:p>
            <w:r/>
            <w:r>
              <w:t>starting_role</w:t>
            </w:r>
          </w:p>
        </w:tc>
        <w:tc>
          <w:tcPr>
            <w:tcW w:type="dxa" w:w="864"/>
          </w:tcPr>
          <w:p>
            <w:r/>
            <w:r>
              <w:t>4</w:t>
            </w:r>
          </w:p>
        </w:tc>
        <w:tc>
          <w:tcPr>
            <w:tcW w:type="dxa" w:w="864"/>
          </w:tcPr>
          <w:p>
            <w:r/>
            <w:r>
              <w:t>2</w:t>
            </w:r>
          </w:p>
        </w:tc>
        <w:tc>
          <w:tcPr>
            <w:tcW w:type="dxa" w:w="864"/>
          </w:tcPr>
          <w:p>
            <w:r/>
            <w:r>
              <w:t>1</w:t>
            </w:r>
          </w:p>
        </w:tc>
        <w:tc>
          <w:tcPr>
            <w:tcW w:type="dxa" w:w="864"/>
          </w:tcPr>
          <w:p>
            <w:r/>
            <w:r>
              <w:t>0</w:t>
            </w:r>
          </w:p>
        </w:tc>
        <w:tc>
          <w:tcPr>
            <w:tcW w:type="dxa" w:w="864"/>
          </w:tcPr>
          <w:p>
            <w:r/>
            <w:r>
              <w:t>2</w:t>
            </w:r>
          </w:p>
        </w:tc>
        <w:tc>
          <w:tcPr>
            <w:tcW w:type="dxa" w:w="864"/>
          </w:tcPr>
          <w:p>
            <w:r/>
            <w:r>
              <w:t>0</w:t>
            </w:r>
          </w:p>
        </w:tc>
        <w:tc>
          <w:tcPr>
            <w:tcW w:type="dxa" w:w="864"/>
          </w:tcPr>
          <w:p>
            <w:r/>
            <w:r>
              <w:t>0</w:t>
            </w:r>
          </w:p>
        </w:tc>
        <w:tc>
          <w:tcPr>
            <w:tcW w:type="dxa" w:w="864"/>
          </w:tcPr>
          <w:p>
            <w:r/>
            <w:r>
              <w:t>27</w:t>
            </w:r>
          </w:p>
        </w:tc>
      </w:tr>
      <w:tr>
        <w:tc>
          <w:tcPr>
            <w:tcW w:type="dxa" w:w="864"/>
          </w:tcPr>
          <w:p>
            <w:r/>
            <w:r>
              <w:t>Accountability and labor allocator</w:t>
            </w:r>
          </w:p>
        </w:tc>
        <w:tc>
          <w:tcPr>
            <w:tcW w:type="dxa" w:w="864"/>
          </w:tcPr>
          <w:p>
            <w:r/>
            <w:r>
              <w:t>starting_role</w:t>
            </w:r>
          </w:p>
        </w:tc>
        <w:tc>
          <w:tcPr>
            <w:tcW w:type="dxa" w:w="864"/>
          </w:tcPr>
          <w:p>
            <w:r/>
            <w:r>
              <w:t>5</w:t>
            </w:r>
          </w:p>
        </w:tc>
        <w:tc>
          <w:tcPr>
            <w:tcW w:type="dxa" w:w="864"/>
          </w:tcPr>
          <w:p>
            <w:r/>
            <w:r>
              <w:t>8</w:t>
            </w:r>
          </w:p>
        </w:tc>
        <w:tc>
          <w:tcPr>
            <w:tcW w:type="dxa" w:w="864"/>
          </w:tcPr>
          <w:p>
            <w:r/>
            <w:r>
              <w:t>7</w:t>
            </w:r>
          </w:p>
        </w:tc>
        <w:tc>
          <w:tcPr>
            <w:tcW w:type="dxa" w:w="864"/>
          </w:tcPr>
          <w:p>
            <w:r/>
            <w:r>
              <w:t>0</w:t>
            </w:r>
          </w:p>
        </w:tc>
        <w:tc>
          <w:tcPr>
            <w:tcW w:type="dxa" w:w="864"/>
          </w:tcPr>
          <w:p>
            <w:r/>
            <w:r>
              <w:t>6</w:t>
            </w:r>
          </w:p>
        </w:tc>
        <w:tc>
          <w:tcPr>
            <w:tcW w:type="dxa" w:w="864"/>
          </w:tcPr>
          <w:p>
            <w:r/>
            <w:r>
              <w:t>1</w:t>
            </w:r>
          </w:p>
        </w:tc>
        <w:tc>
          <w:tcPr>
            <w:tcW w:type="dxa" w:w="864"/>
          </w:tcPr>
          <w:p>
            <w:r/>
            <w:r>
              <w:t>7</w:t>
            </w:r>
          </w:p>
        </w:tc>
        <w:tc>
          <w:tcPr>
            <w:tcW w:type="dxa" w:w="864"/>
          </w:tcPr>
          <w:p>
            <w:r/>
            <w:r>
              <w:t>2</w:t>
            </w:r>
          </w:p>
        </w:tc>
      </w:tr>
      <w:tr>
        <w:tc>
          <w:tcPr>
            <w:tcW w:type="dxa" w:w="864"/>
          </w:tcPr>
          <w:p>
            <w:r/>
            <w:r>
              <w:t>Construct boundary setter</w:t>
            </w:r>
          </w:p>
        </w:tc>
        <w:tc>
          <w:tcPr>
            <w:tcW w:type="dxa" w:w="864"/>
          </w:tcPr>
          <w:p>
            <w:r/>
            <w:r>
              <w:t>split_candidate</w:t>
            </w:r>
          </w:p>
        </w:tc>
        <w:tc>
          <w:tcPr>
            <w:tcW w:type="dxa" w:w="864"/>
          </w:tcPr>
          <w:p>
            <w:r/>
            <w:r>
              <w:t>5</w:t>
            </w:r>
          </w:p>
        </w:tc>
        <w:tc>
          <w:tcPr>
            <w:tcW w:type="dxa" w:w="864"/>
          </w:tcPr>
          <w:p>
            <w:r/>
            <w:r>
              <w:t>5</w:t>
            </w:r>
          </w:p>
        </w:tc>
        <w:tc>
          <w:tcPr>
            <w:tcW w:type="dxa" w:w="864"/>
          </w:tcPr>
          <w:p>
            <w:r/>
            <w:r>
              <w:t>1</w:t>
            </w:r>
          </w:p>
        </w:tc>
        <w:tc>
          <w:tcPr>
            <w:tcW w:type="dxa" w:w="864"/>
          </w:tcPr>
          <w:p>
            <w:r/>
            <w:r>
              <w:t>0</w:t>
            </w:r>
          </w:p>
        </w:tc>
        <w:tc>
          <w:tcPr>
            <w:tcW w:type="dxa" w:w="864"/>
          </w:tcPr>
          <w:p>
            <w:r/>
            <w:r>
              <w:t>2</w:t>
            </w:r>
          </w:p>
        </w:tc>
        <w:tc>
          <w:tcPr>
            <w:tcW w:type="dxa" w:w="864"/>
          </w:tcPr>
          <w:p>
            <w:r/>
            <w:r>
              <w:t>0</w:t>
            </w:r>
          </w:p>
        </w:tc>
        <w:tc>
          <w:tcPr>
            <w:tcW w:type="dxa" w:w="864"/>
          </w:tcPr>
          <w:p>
            <w:r/>
            <w:r>
              <w:t>2</w:t>
            </w:r>
          </w:p>
        </w:tc>
        <w:tc>
          <w:tcPr>
            <w:tcW w:type="dxa" w:w="864"/>
          </w:tcPr>
          <w:p>
            <w:r/>
            <w:r>
              <w:t>21</w:t>
            </w:r>
          </w:p>
        </w:tc>
      </w:tr>
      <w:tr>
        <w:tc>
          <w:tcPr>
            <w:tcW w:type="dxa" w:w="864"/>
          </w:tcPr>
          <w:p>
            <w:r/>
            <w:r>
              <w:t>Perspective sampler</w:t>
            </w:r>
          </w:p>
        </w:tc>
        <w:tc>
          <w:tcPr>
            <w:tcW w:type="dxa" w:w="864"/>
          </w:tcPr>
          <w:p>
            <w:r/>
            <w:r>
              <w:t>split_candidate</w:t>
            </w:r>
          </w:p>
        </w:tc>
        <w:tc>
          <w:tcPr>
            <w:tcW w:type="dxa" w:w="864"/>
          </w:tcPr>
          <w:p>
            <w:r/>
            <w:r>
              <w:t>2</w:t>
            </w:r>
          </w:p>
        </w:tc>
        <w:tc>
          <w:tcPr>
            <w:tcW w:type="dxa" w:w="864"/>
          </w:tcPr>
          <w:p>
            <w:r/>
            <w:r>
              <w:t>2</w:t>
            </w:r>
          </w:p>
        </w:tc>
        <w:tc>
          <w:tcPr>
            <w:tcW w:type="dxa" w:w="864"/>
          </w:tcPr>
          <w:p>
            <w:r/>
            <w:r>
              <w:t>0</w:t>
            </w:r>
          </w:p>
        </w:tc>
        <w:tc>
          <w:tcPr>
            <w:tcW w:type="dxa" w:w="864"/>
          </w:tcPr>
          <w:p>
            <w:r/>
            <w:r>
              <w:t>0</w:t>
            </w:r>
          </w:p>
        </w:tc>
        <w:tc>
          <w:tcPr>
            <w:tcW w:type="dxa" w:w="864"/>
          </w:tcPr>
          <w:p>
            <w:r/>
            <w:r>
              <w:t>4</w:t>
            </w:r>
          </w:p>
        </w:tc>
        <w:tc>
          <w:tcPr>
            <w:tcW w:type="dxa" w:w="864"/>
          </w:tcPr>
          <w:p>
            <w:r/>
            <w:r>
              <w:t>0</w:t>
            </w:r>
          </w:p>
        </w:tc>
        <w:tc>
          <w:tcPr>
            <w:tcW w:type="dxa" w:w="864"/>
          </w:tcPr>
          <w:p>
            <w:r/>
            <w:r>
              <w:t>0</w:t>
            </w:r>
          </w:p>
        </w:tc>
        <w:tc>
          <w:tcPr>
            <w:tcW w:type="dxa" w:w="864"/>
          </w:tcPr>
          <w:p>
            <w:r/>
            <w:r>
              <w:t>28</w:t>
            </w:r>
          </w:p>
        </w:tc>
      </w:tr>
      <w:tr>
        <w:tc>
          <w:tcPr>
            <w:tcW w:type="dxa" w:w="864"/>
          </w:tcPr>
          <w:p>
            <w:r/>
            <w:r>
              <w:t>Counterfactual / transportability judge</w:t>
            </w:r>
          </w:p>
        </w:tc>
        <w:tc>
          <w:tcPr>
            <w:tcW w:type="dxa" w:w="864"/>
          </w:tcPr>
          <w:p>
            <w:r/>
            <w:r>
              <w:t>split_candidate</w:t>
            </w:r>
          </w:p>
        </w:tc>
        <w:tc>
          <w:tcPr>
            <w:tcW w:type="dxa" w:w="864"/>
          </w:tcPr>
          <w:p>
            <w:r/>
            <w:r>
              <w:t>0</w:t>
            </w:r>
          </w:p>
        </w:tc>
        <w:tc>
          <w:tcPr>
            <w:tcW w:type="dxa" w:w="864"/>
          </w:tcPr>
          <w:p>
            <w:r/>
            <w:r>
              <w:t>12</w:t>
            </w:r>
          </w:p>
        </w:tc>
        <w:tc>
          <w:tcPr>
            <w:tcW w:type="dxa" w:w="864"/>
          </w:tcPr>
          <w:p>
            <w:r/>
            <w:r>
              <w:t>0</w:t>
            </w:r>
          </w:p>
        </w:tc>
        <w:tc>
          <w:tcPr>
            <w:tcW w:type="dxa" w:w="864"/>
          </w:tcPr>
          <w:p>
            <w:r/>
            <w:r>
              <w:t>0</w:t>
            </w:r>
          </w:p>
        </w:tc>
        <w:tc>
          <w:tcPr>
            <w:tcW w:type="dxa" w:w="864"/>
          </w:tcPr>
          <w:p>
            <w:r/>
            <w:r>
              <w:t>3</w:t>
            </w:r>
          </w:p>
        </w:tc>
        <w:tc>
          <w:tcPr>
            <w:tcW w:type="dxa" w:w="864"/>
          </w:tcPr>
          <w:p>
            <w:r/>
            <w:r>
              <w:t>0</w:t>
            </w:r>
          </w:p>
        </w:tc>
        <w:tc>
          <w:tcPr>
            <w:tcW w:type="dxa" w:w="864"/>
          </w:tcPr>
          <w:p>
            <w:r/>
            <w:r>
              <w:t>4</w:t>
            </w:r>
          </w:p>
        </w:tc>
        <w:tc>
          <w:tcPr>
            <w:tcW w:type="dxa" w:w="864"/>
          </w:tcPr>
          <w:p>
            <w:r/>
            <w:r>
              <w:t>17</w:t>
            </w:r>
          </w:p>
        </w:tc>
      </w:tr>
      <w:tr>
        <w:tc>
          <w:tcPr>
            <w:tcW w:type="dxa" w:w="864"/>
          </w:tcPr>
          <w:p>
            <w:r/>
            <w:r>
              <w:t>Calibration architect</w:t>
            </w:r>
          </w:p>
        </w:tc>
        <w:tc>
          <w:tcPr>
            <w:tcW w:type="dxa" w:w="864"/>
          </w:tcPr>
          <w:p>
            <w:r/>
            <w:r>
              <w:t>split_candidate</w:t>
            </w:r>
          </w:p>
        </w:tc>
        <w:tc>
          <w:tcPr>
            <w:tcW w:type="dxa" w:w="864"/>
          </w:tcPr>
          <w:p>
            <w:r/>
            <w:r>
              <w:t>8</w:t>
            </w:r>
          </w:p>
        </w:tc>
        <w:tc>
          <w:tcPr>
            <w:tcW w:type="dxa" w:w="864"/>
          </w:tcPr>
          <w:p>
            <w:r/>
            <w:r>
              <w:t>10</w:t>
            </w:r>
          </w:p>
        </w:tc>
        <w:tc>
          <w:tcPr>
            <w:tcW w:type="dxa" w:w="864"/>
          </w:tcPr>
          <w:p>
            <w:r/>
            <w:r>
              <w:t>1</w:t>
            </w:r>
          </w:p>
        </w:tc>
        <w:tc>
          <w:tcPr>
            <w:tcW w:type="dxa" w:w="864"/>
          </w:tcPr>
          <w:p>
            <w:r/>
            <w:r>
              <w:t>0</w:t>
            </w:r>
          </w:p>
        </w:tc>
        <w:tc>
          <w:tcPr>
            <w:tcW w:type="dxa" w:w="864"/>
          </w:tcPr>
          <w:p>
            <w:r/>
            <w:r>
              <w:t>2</w:t>
            </w:r>
          </w:p>
        </w:tc>
        <w:tc>
          <w:tcPr>
            <w:tcW w:type="dxa" w:w="864"/>
          </w:tcPr>
          <w:p>
            <w:r/>
            <w:r>
              <w:t>0</w:t>
            </w:r>
          </w:p>
        </w:tc>
        <w:tc>
          <w:tcPr>
            <w:tcW w:type="dxa" w:w="864"/>
          </w:tcPr>
          <w:p>
            <w:r/>
            <w:r>
              <w:t>5</w:t>
            </w:r>
          </w:p>
        </w:tc>
        <w:tc>
          <w:tcPr>
            <w:tcW w:type="dxa" w:w="864"/>
          </w:tcPr>
          <w:p>
            <w:r/>
            <w:r>
              <w:t>10</w:t>
            </w:r>
          </w:p>
        </w:tc>
      </w:tr>
      <w:tr>
        <w:tc>
          <w:tcPr>
            <w:tcW w:type="dxa" w:w="864"/>
          </w:tcPr>
          <w:p>
            <w:r/>
            <w:r>
              <w:t>Situated interlocutor</w:t>
            </w:r>
          </w:p>
        </w:tc>
        <w:tc>
          <w:tcPr>
            <w:tcW w:type="dxa" w:w="864"/>
          </w:tcPr>
          <w:p>
            <w:r/>
            <w:r>
              <w:t>split_candidate</w:t>
            </w:r>
          </w:p>
        </w:tc>
        <w:tc>
          <w:tcPr>
            <w:tcW w:type="dxa" w:w="864"/>
          </w:tcPr>
          <w:p>
            <w:r/>
            <w:r>
              <w:t>3</w:t>
            </w:r>
          </w:p>
        </w:tc>
        <w:tc>
          <w:tcPr>
            <w:tcW w:type="dxa" w:w="864"/>
          </w:tcPr>
          <w:p>
            <w:r/>
            <w:r>
              <w:t>3</w:t>
            </w:r>
          </w:p>
        </w:tc>
        <w:tc>
          <w:tcPr>
            <w:tcW w:type="dxa" w:w="864"/>
          </w:tcPr>
          <w:p>
            <w:r/>
            <w:r>
              <w:t>0</w:t>
            </w:r>
          </w:p>
        </w:tc>
        <w:tc>
          <w:tcPr>
            <w:tcW w:type="dxa" w:w="864"/>
          </w:tcPr>
          <w:p>
            <w:r/>
            <w:r>
              <w:t>0</w:t>
            </w:r>
          </w:p>
        </w:tc>
        <w:tc>
          <w:tcPr>
            <w:tcW w:type="dxa" w:w="864"/>
          </w:tcPr>
          <w:p>
            <w:r/>
            <w:r>
              <w:t>2</w:t>
            </w:r>
          </w:p>
        </w:tc>
        <w:tc>
          <w:tcPr>
            <w:tcW w:type="dxa" w:w="864"/>
          </w:tcPr>
          <w:p>
            <w:r/>
            <w:r>
              <w:t>0</w:t>
            </w:r>
          </w:p>
        </w:tc>
        <w:tc>
          <w:tcPr>
            <w:tcW w:type="dxa" w:w="864"/>
          </w:tcPr>
          <w:p>
            <w:r/>
            <w:r>
              <w:t>0</w:t>
            </w:r>
          </w:p>
        </w:tc>
        <w:tc>
          <w:tcPr>
            <w:tcW w:type="dxa" w:w="864"/>
          </w:tcPr>
          <w:p>
            <w:r/>
            <w:r>
              <w:t>28</w:t>
            </w:r>
          </w:p>
        </w:tc>
      </w:tr>
      <w:tr>
        <w:tc>
          <w:tcPr>
            <w:tcW w:type="dxa" w:w="864"/>
          </w:tcPr>
          <w:p>
            <w:r/>
            <w:r>
              <w:t>Context witness</w:t>
            </w:r>
          </w:p>
        </w:tc>
        <w:tc>
          <w:tcPr>
            <w:tcW w:type="dxa" w:w="864"/>
          </w:tcPr>
          <w:p>
            <w:r/>
            <w:r>
              <w:t>split_candidate</w:t>
            </w:r>
          </w:p>
        </w:tc>
        <w:tc>
          <w:tcPr>
            <w:tcW w:type="dxa" w:w="864"/>
          </w:tcPr>
          <w:p>
            <w:r/>
            <w:r>
              <w:t>4</w:t>
            </w:r>
          </w:p>
        </w:tc>
        <w:tc>
          <w:tcPr>
            <w:tcW w:type="dxa" w:w="864"/>
          </w:tcPr>
          <w:p>
            <w:r/>
            <w:r>
              <w:t>6</w:t>
            </w:r>
          </w:p>
        </w:tc>
        <w:tc>
          <w:tcPr>
            <w:tcW w:type="dxa" w:w="864"/>
          </w:tcPr>
          <w:p>
            <w:r/>
            <w:r>
              <w:t>1</w:t>
            </w:r>
          </w:p>
        </w:tc>
        <w:tc>
          <w:tcPr>
            <w:tcW w:type="dxa" w:w="864"/>
          </w:tcPr>
          <w:p>
            <w:r/>
            <w:r>
              <w:t>0</w:t>
            </w:r>
          </w:p>
        </w:tc>
        <w:tc>
          <w:tcPr>
            <w:tcW w:type="dxa" w:w="864"/>
          </w:tcPr>
          <w:p>
            <w:r/>
            <w:r>
              <w:t>1</w:t>
            </w:r>
          </w:p>
        </w:tc>
        <w:tc>
          <w:tcPr>
            <w:tcW w:type="dxa" w:w="864"/>
          </w:tcPr>
          <w:p>
            <w:r/>
            <w:r>
              <w:t>0</w:t>
            </w:r>
          </w:p>
        </w:tc>
        <w:tc>
          <w:tcPr>
            <w:tcW w:type="dxa" w:w="864"/>
          </w:tcPr>
          <w:p>
            <w:r/>
            <w:r>
              <w:t>2</w:t>
            </w:r>
          </w:p>
        </w:tc>
        <w:tc>
          <w:tcPr>
            <w:tcW w:type="dxa" w:w="864"/>
          </w:tcPr>
          <w:p>
            <w:r/>
            <w:r>
              <w:t>22</w:t>
            </w:r>
          </w:p>
        </w:tc>
      </w:tr>
      <w:tr>
        <w:tc>
          <w:tcPr>
            <w:tcW w:type="dxa" w:w="864"/>
          </w:tcPr>
          <w:p>
            <w:r/>
            <w:r>
              <w:t>Routine first-pass screener</w:t>
            </w:r>
          </w:p>
        </w:tc>
        <w:tc>
          <w:tcPr>
            <w:tcW w:type="dxa" w:w="864"/>
          </w:tcPr>
          <w:p>
            <w:r/>
            <w:r>
              <w:t>shrinking_task_cluster</w:t>
            </w:r>
          </w:p>
        </w:tc>
        <w:tc>
          <w:tcPr>
            <w:tcW w:type="dxa" w:w="864"/>
          </w:tcPr>
          <w:p>
            <w:r/>
            <w:r>
              <w:t>0</w:t>
            </w:r>
          </w:p>
        </w:tc>
        <w:tc>
          <w:tcPr>
            <w:tcW w:type="dxa" w:w="864"/>
          </w:tcPr>
          <w:p>
            <w:r/>
            <w:r>
              <w:t>0</w:t>
            </w:r>
          </w:p>
        </w:tc>
        <w:tc>
          <w:tcPr>
            <w:tcW w:type="dxa" w:w="864"/>
          </w:tcPr>
          <w:p>
            <w:r/>
            <w:r>
              <w:t>0</w:t>
            </w:r>
          </w:p>
        </w:tc>
        <w:tc>
          <w:tcPr>
            <w:tcW w:type="dxa" w:w="864"/>
          </w:tcPr>
          <w:p>
            <w:r/>
            <w:r>
              <w:t>13</w:t>
            </w:r>
          </w:p>
        </w:tc>
        <w:tc>
          <w:tcPr>
            <w:tcW w:type="dxa" w:w="864"/>
          </w:tcPr>
          <w:p>
            <w:r/>
            <w:r>
              <w:t>0</w:t>
            </w:r>
          </w:p>
        </w:tc>
        <w:tc>
          <w:tcPr>
            <w:tcW w:type="dxa" w:w="864"/>
          </w:tcPr>
          <w:p>
            <w:r/>
            <w:r>
              <w:t>0</w:t>
            </w:r>
          </w:p>
        </w:tc>
        <w:tc>
          <w:tcPr>
            <w:tcW w:type="dxa" w:w="864"/>
          </w:tcPr>
          <w:p>
            <w:r/>
            <w:r>
              <w:t>1</w:t>
            </w:r>
          </w:p>
        </w:tc>
        <w:tc>
          <w:tcPr>
            <w:tcW w:type="dxa" w:w="864"/>
          </w:tcPr>
          <w:p>
            <w:r/>
            <w:r>
              <w:t>22</w:t>
            </w:r>
          </w:p>
        </w:tc>
      </w:tr>
      <w:tr>
        <w:tc>
          <w:tcPr>
            <w:tcW w:type="dxa" w:w="864"/>
          </w:tcPr>
          <w:p>
            <w:r/>
            <w:r>
              <w:t>Routine coder on high-consensus, ground-truth-rich tasks</w:t>
            </w:r>
          </w:p>
        </w:tc>
        <w:tc>
          <w:tcPr>
            <w:tcW w:type="dxa" w:w="864"/>
          </w:tcPr>
          <w:p>
            <w:r/>
            <w:r>
              <w:t>shrinking_task_cluster</w:t>
            </w:r>
          </w:p>
        </w:tc>
        <w:tc>
          <w:tcPr>
            <w:tcW w:type="dxa" w:w="864"/>
          </w:tcPr>
          <w:p>
            <w:r/>
            <w:r>
              <w:t>0</w:t>
            </w:r>
          </w:p>
        </w:tc>
        <w:tc>
          <w:tcPr>
            <w:tcW w:type="dxa" w:w="864"/>
          </w:tcPr>
          <w:p>
            <w:r/>
            <w:r>
              <w:t>1</w:t>
            </w:r>
          </w:p>
        </w:tc>
        <w:tc>
          <w:tcPr>
            <w:tcW w:type="dxa" w:w="864"/>
          </w:tcPr>
          <w:p>
            <w:r/>
            <w:r>
              <w:t>0</w:t>
            </w:r>
          </w:p>
        </w:tc>
        <w:tc>
          <w:tcPr>
            <w:tcW w:type="dxa" w:w="864"/>
          </w:tcPr>
          <w:p>
            <w:r/>
            <w:r>
              <w:t>15</w:t>
            </w:r>
          </w:p>
        </w:tc>
        <w:tc>
          <w:tcPr>
            <w:tcW w:type="dxa" w:w="864"/>
          </w:tcPr>
          <w:p>
            <w:r/>
            <w:r>
              <w:t>1</w:t>
            </w:r>
          </w:p>
        </w:tc>
        <w:tc>
          <w:tcPr>
            <w:tcW w:type="dxa" w:w="864"/>
          </w:tcPr>
          <w:p>
            <w:r/>
            <w:r>
              <w:t>0</w:t>
            </w:r>
          </w:p>
        </w:tc>
        <w:tc>
          <w:tcPr>
            <w:tcW w:type="dxa" w:w="864"/>
          </w:tcPr>
          <w:p>
            <w:r/>
            <w:r>
              <w:t>1</w:t>
            </w:r>
          </w:p>
        </w:tc>
        <w:tc>
          <w:tcPr>
            <w:tcW w:type="dxa" w:w="864"/>
          </w:tcPr>
          <w:p>
            <w:r/>
            <w:r>
              <w:t>18</w:t>
            </w:r>
          </w:p>
        </w:tc>
      </w:tr>
      <w:tr>
        <w:tc>
          <w:tcPr>
            <w:tcW w:type="dxa" w:w="864"/>
          </w:tcPr>
          <w:p>
            <w:r/>
            <w:r>
              <w:t>Structural prose polisher / drafter</w:t>
            </w:r>
          </w:p>
        </w:tc>
        <w:tc>
          <w:tcPr>
            <w:tcW w:type="dxa" w:w="864"/>
          </w:tcPr>
          <w:p>
            <w:r/>
            <w:r>
              <w:t>shrinking_task_cluster</w:t>
            </w:r>
          </w:p>
        </w:tc>
        <w:tc>
          <w:tcPr>
            <w:tcW w:type="dxa" w:w="864"/>
          </w:tcPr>
          <w:p>
            <w:r/>
            <w:r>
              <w:t>0</w:t>
            </w:r>
          </w:p>
        </w:tc>
        <w:tc>
          <w:tcPr>
            <w:tcW w:type="dxa" w:w="864"/>
          </w:tcPr>
          <w:p>
            <w:r/>
            <w:r>
              <w:t>2</w:t>
            </w:r>
          </w:p>
        </w:tc>
        <w:tc>
          <w:tcPr>
            <w:tcW w:type="dxa" w:w="864"/>
          </w:tcPr>
          <w:p>
            <w:r/>
            <w:r>
              <w:t>1</w:t>
            </w:r>
          </w:p>
        </w:tc>
        <w:tc>
          <w:tcPr>
            <w:tcW w:type="dxa" w:w="864"/>
          </w:tcPr>
          <w:p>
            <w:r/>
            <w:r>
              <w:t>12</w:t>
            </w:r>
          </w:p>
        </w:tc>
        <w:tc>
          <w:tcPr>
            <w:tcW w:type="dxa" w:w="864"/>
          </w:tcPr>
          <w:p>
            <w:r/>
            <w:r>
              <w:t>0</w:t>
            </w:r>
          </w:p>
        </w:tc>
        <w:tc>
          <w:tcPr>
            <w:tcW w:type="dxa" w:w="864"/>
          </w:tcPr>
          <w:p>
            <w:r/>
            <w:r>
              <w:t>0</w:t>
            </w:r>
          </w:p>
        </w:tc>
        <w:tc>
          <w:tcPr>
            <w:tcW w:type="dxa" w:w="864"/>
          </w:tcPr>
          <w:p>
            <w:r/>
            <w:r>
              <w:t>1</w:t>
            </w:r>
          </w:p>
        </w:tc>
        <w:tc>
          <w:tcPr>
            <w:tcW w:type="dxa" w:w="864"/>
          </w:tcPr>
          <w:p>
            <w:r/>
            <w:r>
              <w:t>20</w:t>
            </w:r>
          </w:p>
        </w:tc>
      </w:tr>
    </w:tbl>
    <w:p/>
    <w:p>
      <w:pPr>
        <w:pStyle w:val="Heading1"/>
      </w:pPr>
      <w:r>
        <w:t>3. Durable Roles: Procedure, Boundary Setting, and Calibration</w:t>
      </w:r>
    </w:p>
    <w:p>
      <w:pPr>
        <w:pStyle w:val="Heading2"/>
      </w:pPr>
      <w:r>
        <w:t>3.0 Exemplars</w:t>
      </w:r>
    </w:p>
    <w:p>
      <w:r>
        <w:t xml:space="preserve">Before turning to the durable-role pattern, we name one exemplar case per status to index the argument. For </w:t>
      </w:r>
      <w:r>
        <w:rPr>
          <w:b/>
        </w:rPr>
        <w:t>robust</w:t>
      </w:r>
      <w:r>
        <w:t xml:space="preserve"> roles, Keith (2026; Case 2) exemplifies </w:t>
      </w:r>
      <w:r>
        <w:rPr>
          <w:i/>
        </w:rPr>
        <w:t>construct and perspective boundary setter</w:t>
      </w:r>
      <w:r>
        <w:t xml:space="preserve">: the codebook turns broad political ideas into operational constructs, defines edge cases, and makes error analysis methodologically legible before any model is treated as a measurement instrument. For </w:t>
      </w:r>
      <w:r>
        <w:rPr>
          <w:b/>
        </w:rPr>
        <w:t>conditional</w:t>
      </w:r>
      <w:r>
        <w:t xml:space="preserve"> roles, Baccolini (2026; Case 7) exemplifies </w:t>
      </w:r>
      <w:r>
        <w:rPr>
          <w:i/>
        </w:rPr>
        <w:t>protocol and provenance architect in its conditional register</w:t>
      </w:r>
      <w:r>
        <w:t xml:space="preserve">: compact LLMs reduce screening workload, but admissible-evidence rules, gray-literature rescue, and provenance logging remain human-performed and contingent on task features. For </w:t>
      </w:r>
      <w:r>
        <w:rPr>
          <w:b/>
        </w:rPr>
        <w:t>transformed</w:t>
      </w:r>
      <w:r>
        <w:t xml:space="preserve"> roles, Yin (n.d.; Case 29) exemplifies </w:t>
      </w:r>
      <w:r>
        <w:rPr>
          <w:i/>
        </w:rPr>
        <w:t>accountability and labor allocator</w:t>
      </w:r>
      <w:r>
        <w:t>: once LLM-assisted drafting is embedded, the role persists but its content shifts toward disclosure, credit allocation, and version-history discipline rather than toward writing itself.</w:t>
      </w:r>
    </w:p>
    <w:p>
      <w:r>
        <w:t xml:space="preserve">For </w:t>
      </w:r>
      <w:r>
        <w:rPr>
          <w:b/>
        </w:rPr>
        <w:t>shrinking</w:t>
      </w:r>
      <w:r>
        <w:t xml:space="preserve"> task clusters, Tornberg (2025; Case 1) exemplifies the </w:t>
      </w:r>
      <w:r>
        <w:rPr>
          <w:i/>
        </w:rPr>
        <w:t>routine coder on high-consensus, ground-truth-rich tasks</w:t>
      </w:r>
      <w:r>
        <w:t xml:space="preserve">: GPT-4 outperforms supervised classifiers and human coders on objective party-affiliation annotation, yet the surrounding interpretive role is not removed. For </w:t>
      </w:r>
      <w:r>
        <w:rPr>
          <w:b/>
        </w:rPr>
        <w:t>split pressure</w:t>
      </w:r>
      <w:r>
        <w:t xml:space="preserve">, Gligorić (n.d.; Case 3) exemplifies the need to split </w:t>
      </w:r>
      <w:r>
        <w:rPr>
          <w:i/>
        </w:rPr>
        <w:t>construct and perspective boundary setting</w:t>
      </w:r>
      <w:r>
        <w:t xml:space="preserve">: disagreement across subgroups is itself the quantity of interest, so a single correction target collapses the inferential object. The split-pressure coding is recorded on the starting-role "construct and perspective boundary setter"; the database's two split-candidate roles (construct boundary setter, perspective sampler) are then coded separately. For </w:t>
      </w:r>
      <w:r>
        <w:rPr>
          <w:b/>
        </w:rPr>
        <w:t>merge pressure</w:t>
      </w:r>
      <w:r>
        <w:t xml:space="preserve">, Hajishirzi (2026; Case 10) is the exemplar: in retrieval-augmented literature synthesis, </w:t>
      </w:r>
      <w:r>
        <w:rPr>
          <w:i/>
        </w:rPr>
        <w:t>protocol and provenance architecture</w:t>
      </w:r>
      <w:r>
        <w:t xml:space="preserve"> and </w:t>
      </w:r>
      <w:r>
        <w:rPr>
          <w:i/>
        </w:rPr>
        <w:t>accountability and labor allocation</w:t>
      </w:r>
      <w:r>
        <w:t xml:space="preserve"> cannot be coded independently because the provenance trail — which citations are real, which are hallucinated — is inseparable from sign-off authority. Merge pressure is rare in the repository (n=2, both on Case 10); it is retained in the rubric because the substantive pattern matters, not because it is common.</w:t>
      </w:r>
    </w:p>
    <w:p>
      <w:r>
        <w:t>Cases are named as exemplars of one status each for expositional economy; the full status profile for every case is in the released database. Exemplar selection in case-based management methodology has well-known risks of cherry-picking and of theoretical replication-vs-direct-replication confusion (Eisenhardt, 1989, 2021; Flyvbjerg, 2006; Langley, 1999; Welch, Piekkari, Plakoyiannaki, &amp; Paavilainen-Mäntymäki, 2011, who distinguish four methods of theorizing from cases — inductive, interpretive, natural-experiment, contextualised explanation — and argue for pluralism rather than a single exemplar logic); we address those risks by (a) selecting one exemplar per status from cases the rubric's anchors fire on cleanly, (b) disclosing pilot-origin for the three exemplars that were in the rubric-development pilot (Keith, 2026 / Case 2; Baccolini, 2026 / Case 7; Tornberg, 2025 / Case 1), and (c) holding their exemplar-status labels fixed through the main coding pass. The disagreement log released with the database records any pilot-vs-main-pass status revisions. Exemplars are referenced by case ID throughout §§3–5.</w:t>
      </w:r>
    </w:p>
    <w:p>
      <w:pPr>
        <w:pStyle w:val="Heading2"/>
      </w:pPr>
      <w:r>
        <w:t>3.1 Procedure, Boundary Setting, and Calibration in Evidence</w:t>
      </w:r>
    </w:p>
    <w:p>
      <w:r>
        <w:t xml:space="preserve">One orientation note before the evidence. The configurational evidence presented in this subsection is auxiliary to the paper's load-bearing claim, which is the typology's mutual-exclusivity within (role × case) cells, not the configurational lift; the configurational vocabulary is interpretive scaffolding for the role-segmentation finding rather than an independent inferential channel (Cornelissen, Höllerer, &amp; Seidl, 2021 on theorizing forms in organization studies). The clearest durable pattern in the repository is procedural. Protocol and provenance architect appears as robust in 15 cases, conditional in 5 more, and transformed in 7 others — 27 cases in robust, conditional, or transformed status and zero shrinking, with 5 further cases registering split or merge pressure. The same mixed robust-conditional-transformed profile recurs for accountability and labor allocator (5 robust, 8 conditional, 7 transformed), indicating that </w:t>
      </w:r>
      <w:r>
        <w:rPr>
          <w:rFonts w:ascii="Consolas" w:hAnsi="Consolas"/>
          <w:sz w:val="21"/>
        </w:rPr>
        <w:t>transformed</w:t>
      </w:r>
      <w:r>
        <w:t xml:space="preserve"> is not a marginal status in the typology but a common landing point for the roles that redefine, rather than abandon, procedural and accountability work. This is not an abstract count in search of a story. It is visible in the cases that best expose what goes wrong when procedure is underspecified. In contested political measurement, the point of the workflow is not simply to aim an LLM at a text corpus. The codebook has to turn broad political ideas into operational constructs, define edge cases, and make error analysis methodologically legible (Keith, 2026; see §3.0 Exemplars). Procedure is not residual to the task; it constitutes the task. The codebook itself is doing jurisdictional work in the Bechky (2003) sense: it is the artifact through which construct boundaries are negotiated with reviewers, training data are operationalized for model evaluation, and edge-case decisions are rendered auditable to a second coder. The role's durability is inseparable from the codebook's portability — and across the repository, codebook-equivalents (Keith's construct definitions, Baccolini's inclusion rules, Larson's calibration benchmark spec) recur as the artifact through which procedural roles remain human-anchored even when LLMs perform the underlying classification.</w:t>
      </w:r>
    </w:p>
    <w:p>
      <w:r>
        <w:t>The same logic reappears in review automation. In migration-policy screening, compact LLMs can clearly reduce workload, but the gold labels still depend on human disagreement resolution and human exception handling. More importantly, the most sensitive parts of the workflow are not the mechanics of first-pass triage but the design of inclusion rules, gray-literature rescue, and provenance logging (Baccolini, 2026). The role that survives is therefore not “person who reads titles” in the abstract. It is the role that determines what counts as admissible evidence and documents how the corpus was assembled.</w:t>
      </w:r>
    </w:p>
    <w:p>
      <w:r>
        <w:t xml:space="preserve">At the case-configuration level, the durable-roles claim takes a sharper form. Treating each case as a 17-tuple of role-statuses and collapsing status to </w:t>
      </w:r>
      <w:r>
        <w:rPr>
          <w:rFonts w:ascii="Consolas" w:hAnsi="Consolas"/>
          <w:sz w:val="21"/>
        </w:rPr>
        <w:t>durable</w:t>
      </w:r>
      <w:r>
        <w:t xml:space="preserve"> (robust / conditional / transformed), </w:t>
      </w:r>
      <w:r>
        <w:rPr>
          <w:rFonts w:ascii="Consolas" w:hAnsi="Consolas"/>
          <w:sz w:val="21"/>
        </w:rPr>
        <w:t>shrink</w:t>
      </w:r>
      <w:r>
        <w:t xml:space="preserve">, </w:t>
      </w:r>
      <w:r>
        <w:rPr>
          <w:rFonts w:ascii="Consolas" w:hAnsi="Consolas"/>
          <w:sz w:val="21"/>
        </w:rPr>
        <w:t>pressure</w:t>
      </w:r>
      <w:r>
        <w:t xml:space="preserve"> (split / merge), or </w:t>
      </w:r>
      <w:r>
        <w:rPr>
          <w:rFonts w:ascii="Consolas" w:hAnsi="Consolas"/>
          <w:sz w:val="21"/>
        </w:rPr>
        <w:t>na</w:t>
      </w:r>
      <w:r>
        <w:t xml:space="preserve">, the modal configuration on the three H1 roles — protocol and provenance architect, calibration architect, and accountability and labor allocator — is </w:t>
      </w:r>
      <w:r>
        <w:rPr>
          <w:rFonts w:ascii="Consolas" w:hAnsi="Consolas"/>
          <w:sz w:val="21"/>
        </w:rPr>
        <w:t>durable | durable | durable</w:t>
      </w:r>
      <w:r>
        <w:t xml:space="preserve">, occurring in 12 of 36 cases. A further 12 cases carry durable on two of the three (typically protocol + accountability, with calibration coded </w:t>
      </w:r>
      <w:r>
        <w:rPr>
          <w:rFonts w:ascii="Consolas" w:hAnsi="Consolas"/>
          <w:sz w:val="21"/>
        </w:rPr>
        <w:t>not_applicable</w:t>
      </w:r>
      <w:r>
        <w:t xml:space="preserve"> because the case's research question does not involve calibration). Only two cases carry pressure-status on all three. The case-configuration evidence goes further than the marginal role counts. Marginal P(durable) on the three H1 roles is 0.750, 0.528, and 0.556 across all 36 cases; under marginal independence the expected count of all-three-durable cases is 7.92, and the observed count of 12 is 1.52× expected. The triple co-occurrence is therefore a real configurational signal — borrowing the configurational vocabulary of Misangyi et al. (2017) descriptively rather than operating its full consistency/coverage apparatus on this triple, which would require a population of comparable cases the 36-case repository does not yet supply — and not a sum of marginal-distribution coincidences. We treat this as a descriptive set-theoretic finding rather than as a Boolean-minimized QCA result, because at N = 36 cases × 17 roles the configuration space is too large relative to the observed sample to support truth-table reduction (cf. Greckhamer et al., 2018 on QCA best practices for management research). A further intrapersonal-network reading is consistent with the pattern: the three durable roles plausibly co-occur in the same researcher within a case (Ramarajan, 2014), so the 1.52× lift may partly reflect that meta-role co-attachment to a single epistemic-guardian function. A team-composition rival reading is equally consistent with the pattern (Woolley et al., 2010 on collective-intelligence dependencies in research teams): cases that are well-resourced enough to staff all three procedural functions explicitly may register durable on all three regardless of typology structure, so the 1.52× lift could partly reflect research-team capacity rather than role-attachment within a single researcher. The 36-case repository codes at the case level and cannot adjudicate between the intrapersonal and team-composition readings; both are observable signatures of the same configurational pattern, and a v1.1 extension that codes who-performs-the-role-cell within each case is the appropriate test for that distinction. Independent of which observational level the lift is generated at, the design implication is the same: the three procedural roles co-vary closely enough that an organization embedding AI in research workflows should treat them as a single coordinated unit — one performer, one team, or one sign-off body — rather than allocating them across separate coordination structures (Puranam, Alexy, &amp; Reitzig, 2014, on new forms of organizing as task-allocation choices). Splitting them across structures would create the very provenance-vs-accountability merge pressure that §7 forward-predicts.</w:t>
      </w:r>
    </w:p>
    <w:p>
      <w:r>
        <w:t>Calibration shows a related pattern. In predictive settings, the most durable human work is often not broad causal imagination but the narrower, more technical work of calibrating outputs against defensible benchmarks. The synthetic-respondent case is especially clarifying here. Synthetic personas can resemble real respondents on simple descriptives while failing on variance, sign stability, or higher-order relationships. The paper's own design therefore evaluates means, variance, correlations, prompt sensitivity, timing, and model differences rather than taking plausible-looking output at face value (Larson, 2024). This is exactly the kind of evidence that supports splitting calibration architecture from broader transportability judgment. The repository encodes that split directly: calibration architect is robust in 8 cases and conditional in 10, whereas the older transportability bundle appears far more often under split pressure. In jurisdictional terms, calibration architect is emerging as a segmented-then-consolidated sub-jurisdiction within what had been a single transportability role.</w:t>
      </w:r>
    </w:p>
    <w:p>
      <w:pPr>
        <w:pStyle w:val="Heading1"/>
      </w:pPr>
      <w:r>
        <w:t>4. Shrinkage and Transformation: Throughput Tasks Are Not Whole Roles</w:t>
      </w:r>
    </w:p>
    <w:p>
      <w:r>
        <w:t xml:space="preserve">Each shrinkage shape implies a different configuration of the AI as an organizational member (Puranam, 2021 on human-AI collaborative decision-making as organization design; Suchman, 2007 on configuration). </w:t>
      </w:r>
      <w:r>
        <w:rPr>
          <w:i/>
        </w:rPr>
        <w:t>Delegation</w:t>
      </w:r>
      <w:r>
        <w:t xml:space="preserve"> configures the AI as the primary performer with a human exception-handler, and requires routing infrastructure for exceptions; </w:t>
      </w:r>
      <w:r>
        <w:rPr>
          <w:i/>
        </w:rPr>
        <w:t>deskilling</w:t>
      </w:r>
      <w:r>
        <w:t xml:space="preserve"> configures the AI as an embedded tool with the human still nominally responsible for the role but at reduced discretion, and requires retraining infrastructure for residual humans; </w:t>
      </w:r>
      <w:r>
        <w:rPr>
          <w:i/>
        </w:rPr>
        <w:t>boundary redefinition</w:t>
      </w:r>
      <w:r>
        <w:t xml:space="preserve"> configures the AI as a partial member that absorbs a sub-task while the human role narrows around it, and requires role-redesign infrastructure at the team or institution level (Puranam, Alexy, &amp; Reitzig, 2014, on new forms of organizing as task-allocation patterns). These three configurations are not interchangeable from a coordination-architecture standpoint, and the typology's value to an organization designing an AI-embedded research workflow is that it diagnoses which configuration is in play before the workflow is locked in.</w:t>
      </w:r>
    </w:p>
    <w:p>
      <w:r>
        <w:t xml:space="preserve">Shrinkage in this repository has three distinct jurisdictional shapes that map onto the labor-economics literature on automation. </w:t>
      </w:r>
      <w:r>
        <w:rPr>
          <w:i/>
        </w:rPr>
        <w:t>Deskilling</w:t>
      </w:r>
      <w:r>
        <w:t xml:space="preserve"> — the role's content is simplified and the skill demand on the human contracts — corresponds to the routinization-pressure mechanism in Autor (2015) and the lower-skill-demand pole of the automation-augmentation paradox (Raisch &amp; Krakowski, 2021); it fits the Bleier (n.d.) reproducibility-repair pattern, where residual human work is triage rather than diagnosis. </w:t>
      </w:r>
      <w:r>
        <w:rPr>
          <w:i/>
        </w:rPr>
        <w:t>Delegation</w:t>
      </w:r>
      <w:r>
        <w:t xml:space="preserve"> — the task is reassigned to a non-human performer with humans retained for exception handling — corresponds to the substitution mechanism Frey and Osborne (2017) catalogue across occupational tasks and Acemoglu and Restrepo (2020) document for industrial robots; it fits the Tornberg (2025) objective-coding pattern. </w:t>
      </w:r>
      <w:r>
        <w:rPr>
          <w:i/>
        </w:rPr>
        <w:t>Boundary redefinition</w:t>
      </w:r>
      <w:r>
        <w:t xml:space="preserve"> — the task cluster is excised from the human role altogether and the role itself narrows — corresponds to what Brynjolfsson and Mitchell (2017) describe as task-level automation reshaping occupational composition; recent occupational-exposure analyses of large language models specifically (Eloundou, Manning, Mishkin, &amp; Rock, 2023; Felten, Raj, &amp; Seamans, 2023) document the same task-level reshaping mechanism for LLMs — high-exposure tasks include translation, writing, and quantitative analysis at task-cluster grain rather than at whole-role grain — and the structural-prose-polishing pattern documented by Yin (n.d.) and Cox (n.d.) is the manuscript's role-level analog of those task-level findings. These three shapes are not interchangeable, and the manuscript's claim that "shrinkage clusters where auditability and public ground truth are strongest" refers specifically to delegation and boundary-redefinition shapes; deskilling is a weaker shrinkage signal.</w:t>
      </w:r>
    </w:p>
    <w:p>
      <w:r>
        <w:t>The shrinkage story is real, but it is still narrower than public discourse suggests. In the database, routine first-pass screener is coded as shrinking in 13 cases, routine coder on high-consensus, ground-truth-rich tasks is shrinking in 15, and structural prose polisher or drafter is shrinking in 12. Across these three shrinking-task clusters the database records 40 shrinking observations, substantial enough to take the empirical claim seriously while still leaving the durable roles in Section 3 intact. What unites these clusters is not the capability label alone. It is the joint presence of routinized output, relatively clean evaluation, and comparatively low discretion about admissible procedure. Expressed in set-theoretic terms, operating on a case-family proxy for public ground truth (Measurement &amp; coding, Evidence synthesis &amp; corpus, and Reproducibility &amp; autonomous research as ground-truth-rich), the consistency score for (ground-truth-rich → has-shrinking) is 0.857 (12 of 14 ground-truth-rich cases carry at least one shrinking task-cluster), and coverage (of shrinking cases, fraction in ground-truth-rich families) is 0.500 (12 of 24). Ground-truth is therefore close-to-sufficient for shrinkage in this repository but not necessary — shrinkage occurs in other case families as well, at half the density.</w:t>
      </w:r>
    </w:p>
    <w:p>
      <w:r>
        <w:t xml:space="preserve">The objective party-affiliation case is the cleanest coding example. Here the task has public ground truth, and the paper finds that GPT-4 can outperform both supervised classifiers and human coders on identifying party affiliation from a single message across 11 countries (Tornberg, 2025). This is a harder case for the "role persists" reading than the surrounding cases, because Tornberg reports GPT-4 drawing on interpretive skills — contextual inference, implicit reference, cross-linguistic judgment — that had previously been treated as distinctly human. The rival explanation is built into the database itself: objective annotation may be unusually favorable terrain for automation and may not travel to contested constructs. The implication is not that "coding" disappears. It is that some high-consensus coding tasks shrink toward audit and exception handling, while the interpretive activities that Tornberg surfaces as newly machine-tractable migrate into the </w:t>
      </w:r>
      <w:r>
        <w:rPr>
          <w:i/>
        </w:rPr>
        <w:t>calibration architect</w:t>
      </w:r>
      <w:r>
        <w:t xml:space="preserve"> role rather than disappearing.</w:t>
      </w:r>
    </w:p>
    <w:p>
      <w:r>
        <w:t>Review screening shows a similar structure. Compact LLMs can operate effectively as a first-pass triage layer, but low precision and the need for rescue decisions keep the workflow human-accountable at the protocol level (Baccolini, 2026). Post-publication repair makes the pattern even sharper. In the controlled reproducibility testbed, agents and prompt-based systems can repair some broken code packages, especially when the environment is standardized and the failure mode is visible. But success varies materially with error complexity, context, and diagnostic quality (Bleier, n.d.). That means routine repair labor can shrink without collapsing the broader reproducibility role into automation.</w:t>
      </w:r>
    </w:p>
    <w:p>
      <w:r>
        <w:t>Manuscript drafting belongs in the same family, but with a twist. Scientists using LLMs for drafting appear to publish more, yet the same evidence suggests that polished language can coexist with substantively weaker work (Yin, n.d.). Structural prose polishing therefore looks shrinkable, while evaluation, credit allocation, and disclosure become more important rather than less important (Cox, n.d.). Accountability and labor allocator is transformed in 7 cases, conditional in 8, and robust in 5, with 6 additional cases showing explicit split pressure — a much better fit for the evidence than a simple displacement story.</w:t>
      </w:r>
    </w:p>
    <w:p>
      <w:pPr>
        <w:pStyle w:val="Heading1"/>
      </w:pPr>
      <w:r>
        <w:t>5. Split Pressure and Boundary Cases</w:t>
      </w:r>
    </w:p>
    <w:p>
      <w:r>
        <w:t>Some of the most important lessons in the repository are not about robustness or shrinkage. They are about mis-specified roles. The case on multi-perspective annotation shows why. Where disagreement across subgroups is itself substantively meaningful, a single correction target or majority-vote label can erase the quantity of interest. The paper therefore treats the distribution of perspectives as the inferential object rather than as annotation noise (Gligorić, n.d.). That is difficult to fit inside a single undifferentiated "construct and perspective boundary setter." The repository is right to register split pressure here — in jurisdictional terms, the diagnostic sub-activity (which categories exist) is segmenting from the sampling sub-activity (whose perspectives count), which were formerly welded together.</w:t>
      </w:r>
    </w:p>
    <w:p>
      <w:r>
        <w:t>Reflexive memoing and anthropological fieldnotes add a related pressure from a different direction. The fieldnote case argues that raw notes are cultural and communicative products that require reflexive interpretation attuned to local meaning systems, even when computational pipelines and generative models are layered into the analysis (Hernandez, 2025). The problem is not only construct definition. It is also whose perspective is being sampled and who can witness context that remains tacit in the textual trace.</w:t>
      </w:r>
    </w:p>
    <w:p>
      <w:r>
        <w:t xml:space="preserve">Multiverse-style autonomous analysis and simulation cases strengthen the same conclusion. When 150 autonomous agents working from the same data and question still produce sizeable nonstandard errors because they diverge on measures and workflow choices, provenance and multiverse tracking become part of the analysis rather than an afterthought (Xiao, n.d.). And when large-scale simulation systems are explicitly used as testbeds for survey, interview, and intervention questions, calibration and transportability can no longer be treated as the same human role (Li, n.d.). Split pressure is therefore not a weakness in the typology. It is one of the paper's most important substantive findings — a configurational signal in the sense developed in qualitative comparative analysis (Kraus, Ribeiro-Soriano, &amp; Schüssler, 2018; Greckhamer, Furnari, Fiss, &amp; Aguilera, 2018), where role-level segmentation surfaces through patterned divergence across cases rather than through a single decisive comparison. As in §3.1, the configurational vocabulary here is interpretive scaffolding for the typology's role-segmentation finding rather than an independent inferential channel. With that orientation: in the configurational-theorizing vocabulary, split pressure operates as Furnari et al.'s (2021) </w:t>
      </w:r>
      <w:r>
        <w:rPr>
          <w:i/>
        </w:rPr>
        <w:t>scoping</w:t>
      </w:r>
      <w:r>
        <w:t xml:space="preserve"> heuristic — re-determining which conditions belong inside the configuration and which belong outside — and merge pressure operates as </w:t>
      </w:r>
      <w:r>
        <w:rPr>
          <w:i/>
        </w:rPr>
        <w:t>linking</w:t>
      </w:r>
      <w:r>
        <w:t xml:space="preserve">, where two formerly distinct conditions are recombined into a single configurational element. The </w:t>
      </w:r>
      <w:r>
        <w:rPr>
          <w:i/>
        </w:rPr>
        <w:t>naming</w:t>
      </w:r>
      <w:r>
        <w:t xml:space="preserve"> heuristic, properly understood, applies at the higher level of the configurations themselves (e.g., the durable-on-all-three-H1-roles cluster identified in §3.1 as an "epistemic-guardian" signature), not at the level of individual role labels.</w:t>
      </w:r>
    </w:p>
    <w:p>
      <w:r>
        <w:t xml:space="preserve">Five cases (25 and 26 Project APE, 32 The AI Scientist, 33 Deep Research, 34 AgentSociety) describe research systems built around AI capability from the outset. For these cases, the rubric's </w:t>
      </w:r>
      <w:r>
        <w:rPr>
          <w:i/>
        </w:rPr>
        <w:t>transformed</w:t>
      </w:r>
      <w:r>
        <w:t xml:space="preserve"> anchor (before/after language) and </w:t>
      </w:r>
      <w:r>
        <w:rPr>
          <w:i/>
        </w:rPr>
        <w:t>shrinking</w:t>
      </w:r>
      <w:r>
        <w:t xml:space="preserve"> anchor (residual human work vs. prior level) are coded against a hypothetical pre-AI decomposition of the research activity; the affected cells are tagged in the released database and a sensitivity analysis excluding these cases is reported in §6 (Table 4). The H1–H3 claims do not depend on these cases. We acknowledge a deeper limitation than the asymmetric-anchor disclosure already provided: for research configurations that were never assembled in a pre-AI form, the rubric is coding a counterfactual decomposition rather than an observed transition, and practice-theoretic readers (Orlikowski, 2007; Suchman, 2007) will rightly note that the role-as-it-exists in these cases is constitutively entangled with the AI configuration rather than modified by it. The rubric is therefore appropriate as a </w:t>
      </w:r>
      <w:r>
        <w:rPr>
          <w:i/>
        </w:rPr>
        <w:t>separability-presupposing</w:t>
      </w:r>
      <w:r>
        <w:t xml:space="preserve"> audit instrument across the 36 cases — and we read this presupposition as a genuine ontological scope condition on the typology, not only as a measurement nuisance — but we do not claim it adjudicates fully co-constituted research systems against a notionally pre-AI baseline.</w:t>
      </w:r>
    </w:p>
    <w:p>
      <w:r>
        <w:t>Project APE and The AI Scientist concentrate the strongest current automation ambitions into visible systems. Project APE relies on tournament-style evaluation, model ensembles, and internal quality proxies that do not map cleanly onto journal, policy, or public-accountability standards (Project APE, n.d.). The AI Scientist draws most of its evidence from AI or machine-learning research rather than from social science (Ha, n.d.). These cases stress-test the typology without settling it.</w:t>
      </w:r>
    </w:p>
    <w:p>
      <w:pPr>
        <w:pStyle w:val="Heading1"/>
      </w:pPr>
      <w:r>
        <w:t>Data and Code Availability</w:t>
      </w:r>
    </w:p>
    <w:p>
      <w:r>
        <w:t>All artifacts supporting this paper are archived at https://github.com/ryanwongyy/role-system-ORM-submission under release tag [</w:t>
      </w:r>
      <w:r>
        <w:rPr>
          <w:rFonts w:ascii="Consolas" w:hAnsi="Consolas"/>
          <w:sz w:val="21"/>
        </w:rPr>
        <w:t>v1.0.0-ORM-submission</w:t>
      </w:r>
      <w:r>
        <w:t xml:space="preserve">](https://github.com/ryanwongyy/role-system-ORM-submission/releases/tag/v1.0.0-ORM-submission), mirrored at a Zenodo DOI to be minted on acceptance. The release contains: (1) </w:t>
      </w:r>
      <w:r>
        <w:rPr>
          <w:rFonts w:ascii="Consolas" w:hAnsi="Consolas"/>
          <w:sz w:val="21"/>
        </w:rPr>
        <w:t>role_coding_master.csv</w:t>
      </w:r>
      <w:r>
        <w:t xml:space="preserve"> (612 rows, CC-BY-4.0); (2) </w:t>
      </w:r>
      <w:r>
        <w:rPr>
          <w:rFonts w:ascii="Consolas" w:hAnsi="Consolas"/>
          <w:sz w:val="21"/>
        </w:rPr>
        <w:t>cases_master.csv</w:t>
      </w:r>
      <w:r>
        <w:t xml:space="preserve"> (36 cases, CC-BY-4.0); (3) </w:t>
      </w:r>
      <w:r>
        <w:rPr>
          <w:rFonts w:ascii="Consolas" w:hAnsi="Consolas"/>
          <w:sz w:val="21"/>
        </w:rPr>
        <w:t>role_coding_secondcoder_subsample.csv</w:t>
      </w:r>
      <w:r>
        <w:t xml:space="preserve"> (68 rows, released concurrently with Appendix B κ); (4) the codebook with a date-stamped version history; (5a) </w:t>
      </w:r>
      <w:r>
        <w:rPr>
          <w:rFonts w:ascii="Consolas" w:hAnsi="Consolas"/>
          <w:sz w:val="21"/>
        </w:rPr>
        <w:t>scripts/section6_analysis.py</w:t>
      </w:r>
      <w:r>
        <w:t xml:space="preserve"> (MIT) reproduces every inferential value in §6 — χ² = 87.67 (family) and 29.80 (capability), Cramér's V = 0.260 (family) and 0.240 (capability), cell-level Monte-Carlo </w:t>
      </w:r>
      <w:r>
        <w:rPr>
          <w:i/>
        </w:rPr>
        <w:t>p</w:t>
      </w:r>
      <w:r>
        <w:t xml:space="preserve"> = 0.0002 / 0.0012 (seeds 20260423 and 20260424), case-level Monte-Carlo </w:t>
      </w:r>
      <w:r>
        <w:rPr>
          <w:i/>
        </w:rPr>
        <w:t>p</w:t>
      </w:r>
      <w:r>
        <w:t xml:space="preserve"> = 0.58 / 0.33 under the clustering-aware null, case-cluster bootstrap V CIs (B = 2,000, seed 20260425), per-role paired Wilcoxon </w:t>
      </w:r>
      <w:r>
        <w:rPr>
          <w:i/>
        </w:rPr>
        <w:t>W</w:t>
      </w:r>
      <w:r>
        <w:t xml:space="preserve"> = 7 / </w:t>
      </w:r>
      <w:r>
        <w:rPr>
          <w:i/>
        </w:rPr>
        <w:t>p</w:t>
      </w:r>
      <w:r>
        <w:t xml:space="preserve"> = 0.0006 and the sign-test companion </w:t>
      </w:r>
      <w:r>
        <w:rPr>
          <w:i/>
        </w:rPr>
        <w:t>p</w:t>
      </w:r>
      <w:r>
        <w:t xml:space="preserve"> = 0.004, V_family = 0.267 on the 204 high-confidence rows, and Holm-adjusted </w:t>
      </w:r>
      <w:r>
        <w:rPr>
          <w:i/>
        </w:rPr>
        <w:t>p</w:t>
      </w:r>
      <w:r>
        <w:t xml:space="preserve">-values across the six-test confirmatory family. (5b) </w:t>
      </w:r>
      <w:r>
        <w:rPr>
          <w:rFonts w:ascii="Consolas" w:hAnsi="Consolas"/>
          <w:sz w:val="21"/>
        </w:rPr>
        <w:t>scripts/appendix_b_reliability.py</w:t>
      </w:r>
      <w:r>
        <w:t xml:space="preserve"> (MIT) reproduces every reliability value in §6 and Appendix B — Cohen's κ = 0.289 with bootstrap 95 % CI [0.147, 0.439] (B = 2,000, seed 20260423), per-status κ (robust 0.402, shrinking 0.549, conditional 0.009, transformed 0.000), and Krippendorff's α = 0.278 (7-cat) / 0.298 (8-cat). Runtime is under 60 s on a 2023 laptop; dependencies are pinned in </w:t>
      </w:r>
      <w:r>
        <w:rPr>
          <w:rFonts w:ascii="Consolas" w:hAnsi="Consolas"/>
          <w:sz w:val="21"/>
        </w:rPr>
        <w:t>requirements.txt</w:t>
      </w:r>
      <w:r>
        <w:t xml:space="preserve">. (6) Appendix E (coder checklist, instrument-grade) and Appendix F (reviewer-audit checklist), both under CC-BY-4.0, function as the applied-use artifacts for the rubric. All counts reported in this manuscript are computed against the release-tagged snapshot; subsequent coding revisions are tracked in </w:t>
      </w:r>
      <w:r>
        <w:rPr>
          <w:rFonts w:ascii="Consolas" w:hAnsi="Consolas"/>
          <w:sz w:val="21"/>
        </w:rPr>
        <w:t>CHANGELOG.md</w:t>
      </w:r>
      <w:r>
        <w:t xml:space="preserve"> and will not overwrite the reviewed snapshot.</w:t>
      </w:r>
    </w:p>
    <w:p>
      <w:pPr>
        <w:pStyle w:val="Heading1"/>
      </w:pPr>
      <w:r>
        <w:t>Transparency and Disclosures</w:t>
      </w:r>
    </w:p>
    <w:p>
      <w:r>
        <w:t xml:space="preserve">The first author conducted all role-status coding. The second-coder protocol for Appendix B (four cases, 68 cells, stratified across the four largest case-family clusters) is specified as a </w:t>
      </w:r>
      <w:r>
        <w:rPr>
          <w:b/>
        </w:rPr>
        <w:t>pre-analysis plan</w:t>
      </w:r>
      <w:r>
        <w:t xml:space="preserve"> in </w:t>
      </w:r>
      <w:r>
        <w:rPr>
          <w:rFonts w:ascii="Consolas" w:hAnsi="Consolas"/>
          <w:sz w:val="21"/>
        </w:rPr>
        <w:t>30_reviews/OSF_preregistration.md</w:t>
      </w:r>
      <w:r>
        <w:t xml:space="preserve">, released with the database at tag </w:t>
      </w:r>
      <w:r>
        <w:rPr>
          <w:rFonts w:ascii="Consolas" w:hAnsi="Consolas"/>
          <w:sz w:val="21"/>
        </w:rPr>
        <w:t>v1.0.0-ORM-submission</w:t>
      </w:r>
      <w:r>
        <w:t>. The pre-analysis plan documents the subsample, the coder-blindness protocol, the κ ≥ 0.60 acceptance threshold, and the tie-breaker-revision remedy. The evidentiary standard for temporal precedence is the git commit history, not an OSF timestamp: an independent OSF registration was not posted before the second-coder pass, and we flag OSF registration as a recommended follow-up rather than claiming it retrospectively. Competing interests: none declared. Funding: the author(s) received no specific grant funding from any agency in the public, commercial, or not-for-profit sectors for this work. No generative AI system was used to propose role-status assignments in the main coding pass; LLMs were used for prose editing of the manuscript itself, under the disclosure standard adopted by ORM in 2025.</w:t>
      </w:r>
    </w:p>
    <w:p>
      <w:r>
        <w:t>H1, H2, and H3 were specified before the main coding pass; the sign test was identified as the primary confirmatory test before analysis; all other inferential objects in §6 are reported as robustness checks. The codebook version history is released with the database.</w:t>
      </w:r>
    </w:p>
    <w:p>
      <w:pPr>
        <w:pStyle w:val="Heading1"/>
      </w:pPr>
      <w:r>
        <w:t>6. Rival Explanations and Limits</w:t>
      </w:r>
    </w:p>
    <w:p>
      <w:r>
        <w:t xml:space="preserve">The H3 verdict rests on the pre-specified per-role paired sign test across 16 roles with defined V (14 of 16 positive, </w:t>
      </w:r>
      <w:r>
        <w:rPr>
          <w:i/>
        </w:rPr>
        <w:t>p</w:t>
      </w:r>
      <w:r>
        <w:t xml:space="preserve"> = 0.004), with the paired Wilcoxon (</w:t>
      </w:r>
      <w:r>
        <w:rPr>
          <w:i/>
        </w:rPr>
        <w:t>W</w:t>
      </w:r>
      <w:r>
        <w:t xml:space="preserve"> = 7, </w:t>
      </w:r>
      <w:r>
        <w:rPr>
          <w:i/>
        </w:rPr>
        <w:t>p</w:t>
      </w:r>
      <w:r>
        <w:t xml:space="preserve"> = 0.0006) reported alongside as the magnitude-sensitive companion; the cell-level Monte-Carlo on case family (</w:t>
      </w:r>
      <w:r>
        <w:rPr>
          <w:i/>
        </w:rPr>
        <w:t>p</w:t>
      </w:r>
      <w:r>
        <w:t xml:space="preserve"> = 0.0002) survives Holm correction, the case-level Monte-Carlo under the clustering-aware null does not (</w:t>
      </w:r>
      <w:r>
        <w:rPr>
          <w:i/>
        </w:rPr>
        <w:t>p</w:t>
      </w:r>
      <w:r>
        <w:t xml:space="preserve"> = 0.58). H3 is therefore supported as a cell-level pattern but is not significant under the case-level null at N = 36 cases; see §6 for the full inferential apparatus.</w:t>
      </w:r>
    </w:p>
    <w:p>
      <w:r>
        <w:t>The repository is strong enough to support a comparative argument, but it is not immune to rival explanations. Publication bias matters: some cases become visible precisely because they are dramatic, novel, or unusually favorable to AI — the standard credibility-crisis concern in management research (Bergh et al., 2017; Ioannidis, 2005). Repository coding bias also matters: even a well-documented database reflects earlier curation and coding decisions, and the coder's hypotheses-in-mind risk what Gelman and Loken (2014) describe as the garden of forking paths. The coding reported here is first-author-led (see §2 for confidence stratification and coding procedure). Benchmark artificiality remains a live issue in the screening, reproducibility, and autonomy-heavy cases, where clean tasks or internal evaluation frameworks may flatter automation relative to messier live settings; the holistic-evaluation literature (Liang et al., 2022) and broader LLM evaluation surveys (Chang et al., 2024) document this gap between benchmark performance and deployed-context behavior, and the foundation-models literature catalogs the same artifact as a property of the models themselves (Bommasani et al., 2022; Weidinger et al., 2021).</w:t>
      </w:r>
    </w:p>
    <w:p>
      <w:r>
        <w:t xml:space="preserve">To assess coding reliability, an independent second coder re-coded a stratified 10% subsample — four cases totaling 68 role × case cells — using only the rubric in Table 1 and the released case files, without access to the first coder's evidence summaries. We follow Pratt, Kaplan, and Whittington (2020) in treating </w:t>
      </w:r>
      <w:r>
        <w:rPr>
          <w:i/>
        </w:rPr>
        <w:t>transparency</w:t>
      </w:r>
      <w:r>
        <w:t xml:space="preserve"> and </w:t>
      </w:r>
      <w:r>
        <w:rPr>
          <w:i/>
        </w:rPr>
        <w:t>replication</w:t>
      </w:r>
      <w:r>
        <w:t xml:space="preserve"> as decoupleable goals for qualitative-coded research: the κ pass reported below is a replication-yardstick test on a partly-interpretive instrument, and we read it as evidence about the rubric's </w:t>
      </w:r>
      <w:r>
        <w:rPr>
          <w:i/>
        </w:rPr>
        <w:t>non-reflexive portability</w:t>
      </w:r>
      <w:r>
        <w:t xml:space="preserve"> — whether a coder given only the anchors and the case files can recover the first coder's codings — rather than as a unified trustworthiness score. The second-coder pass was performed by a sandboxed large-language-model agent with context restricted to the rubric and the case files. An LLM cannot perform the reflexive interpretation that fully-interpretive coding requires; we therefore report the LLM-agent κ as a </w:t>
      </w:r>
      <w:r>
        <w:rPr>
          <w:i/>
        </w:rPr>
        <w:t>rubric-portability</w:t>
      </w:r>
      <w:r>
        <w:t xml:space="preserve"> test rather than as a trustworthiness instrument, and treat the audit trail, the released disagreement log, the date-stamped codebook version history, and the human second-coder pass we flag as an unmet commitment as the load-bearing trustworthiness instruments. The Appendix B subsample was coded </w:t>
      </w:r>
      <w:r>
        <w:rPr>
          <w:i/>
        </w:rPr>
        <w:t>blind</w:t>
      </w:r>
      <w:r>
        <w:t xml:space="preserve"> because methods-journal reviewers expect a blind-subsample test of the rubric's stand-alone usability; we did not conduct the </w:t>
      </w:r>
      <w:r>
        <w:rPr>
          <w:i/>
        </w:rPr>
        <w:t>calibration sessions</w:t>
      </w:r>
      <w:r>
        <w:t xml:space="preserve"> in which two coders discuss disagreements and re-code (the qualitative-trustworthiness counterpart to the blind-subsample test, per Pratt, Kaplan, and Whittington 2020), and the κ failure on </w:t>
      </w:r>
      <w:r>
        <w:rPr>
          <w:i/>
        </w:rPr>
        <w:t>conditional</w:t>
      </w:r>
      <w:r>
        <w:t xml:space="preserve"> and </w:t>
      </w:r>
      <w:r>
        <w:rPr>
          <w:i/>
        </w:rPr>
        <w:t>transformed</w:t>
      </w:r>
      <w:r>
        <w:t xml:space="preserve"> is therefore partly diagnostic of category interpretiveness and partly diagnostic of the absence of calibration. A v1.1 protocol that interleaves blind subsamples with calibration sessions on a held-out set is the appropriate next step. The reliability protocol follows the standard practice for content-analytic coding (Hayes &amp; Krippendorff, 2007; Lombard, Snyder-Duch, &amp; Bracken, 2002), reporting Cohen's κ alongside per-status κ on the principle that a single pooled coefficient can mask category-specific failures (Krippendorff, 2011; Landis &amp; Koch, 1977 for κ-magnitude conventions). The LLM-agent pass yields raw agreement of 52.9% and </w:t>
      </w:r>
      <w:r>
        <w:rPr>
          <w:b/>
        </w:rPr>
        <w:t>pooled Cohen's κ = 0.289, 95% bootstrap CI [0.147, 0.439]</w:t>
      </w:r>
      <w:r>
        <w:t xml:space="preserve"> (B = 2,000; seed 20260423). For prevalence-imbalance-robustness, we additionally compute </w:t>
      </w:r>
      <w:r>
        <w:rPr>
          <w:b/>
        </w:rPr>
        <w:t>Krippendorff's α</w:t>
      </w:r>
      <w:r>
        <w:t xml:space="preserve"> (Krippendorff, 2011; Hayes &amp; Krippendorff, 2007), which on the 7-category collapsed scheme yields α = 0.278 and on the full 8-category scheme yields α = 0.298 — within 0.011 of κ on the same data. The convergence of α and κ at this level indicates the failure is not a κ-prevalence-asymmetry artifact: both statistics return the same diagnostic. The result </w:t>
      </w:r>
      <w:r>
        <w:rPr>
          <w:b/>
        </w:rPr>
        <w:t>fails</w:t>
      </w:r>
      <w:r>
        <w:t xml:space="preserve"> the pre-committed acceptance threshold of κ ≥ 0.60. The 0.60 threshold follows McHugh's (2012) interpretation framework, which updates Cohen's (1960) original thresholds for high-stakes research contexts and treats κ &lt; 0.60 as inadequate agreement; on her interpretation, κ = 0.289 falls in the "minimal" range, indicating that approximately 4–15% of cell-level codings are reliable — well below acceptance grade for a methodological rubric. Per-status κ values reveal the failure's structure: </w:t>
      </w:r>
      <w:r>
        <w:rPr>
          <w:i/>
        </w:rPr>
        <w:t>robust</w:t>
      </w:r>
      <w:r>
        <w:t xml:space="preserve"> (κ = 0.402) and </w:t>
      </w:r>
      <w:r>
        <w:rPr>
          <w:i/>
        </w:rPr>
        <w:t>shrinking</w:t>
      </w:r>
      <w:r>
        <w:t xml:space="preserve"> (κ = 0.549) achieve moderate agreement, but </w:t>
      </w:r>
      <w:r>
        <w:rPr>
          <w:i/>
        </w:rPr>
        <w:t>conditional</w:t>
      </w:r>
      <w:r>
        <w:t xml:space="preserve"> (κ = 0.009) and </w:t>
      </w:r>
      <w:r>
        <w:rPr>
          <w:i/>
        </w:rPr>
        <w:t>transformed</w:t>
      </w:r>
      <w:r>
        <w:t xml:space="preserve"> (κ = 0.000) show essentially no agreement above chance. We read this as construct-validity-relevant in the Cronbach-Meehl-Messick-Borsboom sense (Cronbach &amp; Meehl, 1955; Messick, 1995; Borsboom et al., 2004): the two failing categories are not a procedural disagreement on observable anchors but a category-meaning gap between coders. A measurement-invariance reading is also worth flagging (Vandenberg &amp; Lance, 2000): the per-status κ of 0.000 on </w:t>
      </w:r>
      <w:r>
        <w:rPr>
          <w:i/>
        </w:rPr>
        <w:t>transformed</w:t>
      </w:r>
      <w:r>
        <w:t xml:space="preserve"> and 0.009 on </w:t>
      </w:r>
      <w:r>
        <w:rPr>
          <w:i/>
        </w:rPr>
        <w:t>conditional</w:t>
      </w:r>
      <w:r>
        <w:t xml:space="preserve"> is the diagnostic signature of </w:t>
      </w:r>
      <w:r>
        <w:rPr>
          <w:i/>
        </w:rPr>
        <w:t>configural-invariance failure</w:t>
      </w:r>
      <w:r>
        <w:t xml:space="preserve"> on those two anchors — the observable features that license a </w:t>
      </w:r>
      <w:r>
        <w:rPr>
          <w:i/>
        </w:rPr>
        <w:t>transformed</w:t>
      </w:r>
      <w:r>
        <w:t xml:space="preserve"> code in Measurement &amp; coding cases (verb swaps in coding pipelines) are not the same observables that fire </w:t>
      </w:r>
      <w:r>
        <w:rPr>
          <w:i/>
        </w:rPr>
        <w:t>transformed</w:t>
      </w:r>
      <w:r>
        <w:t xml:space="preserve"> in Reproducibility &amp; autonomous research cases (sub-task introduction at agent boundaries). Cross-family comparisons aggregating over these two statuses presuppose configural invariance the v1.0 rubric has not demonstrated. There is also an identity-theoretic reading worth flagging (Ramarajan, 2014): </w:t>
      </w:r>
      <w:r>
        <w:rPr>
          <w:i/>
        </w:rPr>
        <w:t>robust</w:t>
      </w:r>
      <w:r>
        <w:t xml:space="preserve"> and </w:t>
      </w:r>
      <w:r>
        <w:rPr>
          <w:i/>
        </w:rPr>
        <w:t>shrinking</w:t>
      </w:r>
      <w:r>
        <w:t xml:space="preserve"> describe role </w:t>
      </w:r>
      <w:r>
        <w:rPr>
          <w:i/>
        </w:rPr>
        <w:t>states</w:t>
      </w:r>
      <w:r>
        <w:t xml:space="preserve"> legible at a single time-point, while </w:t>
      </w:r>
      <w:r>
        <w:rPr>
          <w:i/>
        </w:rPr>
        <w:t>conditional</w:t>
      </w:r>
      <w:r>
        <w:t xml:space="preserve"> (role contingent on moderators) and </w:t>
      </w:r>
      <w:r>
        <w:rPr>
          <w:i/>
        </w:rPr>
        <w:t>transformed</w:t>
      </w:r>
      <w:r>
        <w:t xml:space="preserve"> (role content under revision) describe role </w:t>
      </w:r>
      <w:r>
        <w:rPr>
          <w:i/>
        </w:rPr>
        <w:t>transitions</w:t>
      </w:r>
      <w:r>
        <w:t xml:space="preserve"> — and transitions are inherently noisier to code from a single case-text snapshot than states are. A longitudinal reliability test that asks whether two coders agree on transition </w:t>
      </w:r>
      <w:r>
        <w:rPr>
          <w:i/>
        </w:rPr>
        <w:t>direction</w:t>
      </w:r>
      <w:r>
        <w:t xml:space="preserve"> across two time-points (rather than transition </w:t>
      </w:r>
      <w:r>
        <w:rPr>
          <w:i/>
        </w:rPr>
        <w:t>classification</w:t>
      </w:r>
      <w:r>
        <w:t xml:space="preserve"> at one time-point) is therefore a more appropriate v1.1 instrument for those two statuses, and the dominant disagreement axis we observe — whether a role is observable at all (see Appendix B) — is consistent with both readings. A third reading, complementary rather than alternative, is that the rubric itself participates in constituting role status rather than only describing it (Orlikowski &amp; Scott, 2008): the codebook's choice to individuate eight starting roles, the operationalization of </w:t>
      </w:r>
      <w:r>
        <w:rPr>
          <w:i/>
        </w:rPr>
        <w:t>load-bearing</w:t>
      </w:r>
      <w:r>
        <w:t xml:space="preserve"> as </w:t>
      </w:r>
      <w:r>
        <w:rPr>
          <w:i/>
        </w:rPr>
        <w:t>author-stated load-bearing</w:t>
      </w:r>
      <w:r>
        <w:t xml:space="preserve">, and the use of an LLM-agent second coder all configure what counts as a role, what counts as evidence for a status, and what counts as agreement. The rubric's outputs are intelligible </w:t>
      </w:r>
      <w:r>
        <w:rPr>
          <w:i/>
        </w:rPr>
        <w:t>as outputs of this rubric applied through this coding configuration</w:t>
      </w:r>
      <w:r>
        <w:t>; a different rubric would produce a different role-status landscape on the same cases. We do not regard this as invalidating the audit, but we treat it as a load-bearing scope condition.</w:t>
      </w:r>
    </w:p>
    <w:p>
      <w:r>
        <w:t xml:space="preserve">Two rubric refinements follow from the disagreement pattern. Table 1's conditional-vs-transformed tie-breaker now requires an explicit moderator variable for </w:t>
      </w:r>
      <w:r>
        <w:rPr>
          <w:i/>
        </w:rPr>
        <w:t>conditional</w:t>
      </w:r>
      <w:r>
        <w:t xml:space="preserve"> or an explicit role-content change for </w:t>
      </w:r>
      <w:r>
        <w:rPr>
          <w:i/>
        </w:rPr>
        <w:t>transformed</w:t>
      </w:r>
      <w:r>
        <w:t xml:space="preserve">, with indeterminate cells defaulting to </w:t>
      </w:r>
      <w:r>
        <w:rPr>
          <w:i/>
        </w:rPr>
        <w:t>unclear</w:t>
      </w:r>
      <w:r>
        <w:t>; and the observable-vs-</w:t>
      </w:r>
      <w:r>
        <w:rPr>
          <w:rFonts w:ascii="Consolas" w:hAnsi="Consolas"/>
          <w:sz w:val="21"/>
        </w:rPr>
        <w:t>not_applicable</w:t>
      </w:r>
      <w:r>
        <w:t xml:space="preserve"> threshold now requires at least one quotable sentence of direct evidence in the case file, not inference from adjacent activity. A human second-coder pass at acceptance-grade reliability is a named follow-up. The rubric, the second-coder CSV, and the disagreement log are released with the database — open-coding-data release is the open-science move that lets readers re-run reliability rather than take it on faith (Nosek et al., 2015; Open Science Collaboration, 2015), and the pre-analysis-plan posture under which the κ ≥ 0.60 threshold and tie-breaker remedy were committed before the coding was run is the preregistration-revolution move applied to coding-rubric work rather than to hypothesis testing (Nosek, Ebersole, DeHaven, &amp; Mellor, 2018) — so that any reader can re-run the comparison or extend it to additional cases. We also flag a rubric limitation: the </w:t>
      </w:r>
      <w:r>
        <w:rPr>
          <w:i/>
        </w:rPr>
        <w:t>conditional</w:t>
      </w:r>
      <w:r>
        <w:t xml:space="preserve"> status — the single largest observable-present category at 92 of 612 rows — is operationally undifferentiated, spanning "mostly human with AI assistance" to "mostly AI with human rescue." A planned v1.1 extension will introduce two conditional subtypes (</w:t>
      </w:r>
      <w:r>
        <w:rPr>
          <w:i/>
        </w:rPr>
        <w:t>C-H</w:t>
      </w:r>
      <w:r>
        <w:t xml:space="preserve">: human-default with AI assist; </w:t>
      </w:r>
      <w:r>
        <w:rPr>
          <w:i/>
        </w:rPr>
        <w:t>C-A</w:t>
      </w:r>
      <w:r>
        <w:t>: AI-default with human rescue) as an annotation layer. The current version aggregates these under a single label; if conditional subtypes correlate systematically with AI capability, the H3 capability effect is correspondingly under-estimated. A two-extreme bracket is indicative: if all 92 conditional rows are reassigned to C-H (human-default), the per-role paired sign test remains 14 of 16 positive (</w:t>
      </w:r>
      <w:r>
        <w:rPr>
          <w:i/>
        </w:rPr>
        <w:t>p</w:t>
      </w:r>
      <w:r>
        <w:t xml:space="preserve"> = 0.004); if reassigned to C-A (AI-default), the direction holds at 13 of 16 (</w:t>
      </w:r>
      <w:r>
        <w:rPr>
          <w:i/>
        </w:rPr>
        <w:t>p</w:t>
      </w:r>
      <w:r>
        <w:t xml:space="preserve"> = 0.021). The sign-test verdict is robust to either extreme prior on conditional subtype.</w:t>
      </w:r>
    </w:p>
    <w:p>
      <w:r>
        <w:t xml:space="preserve">We pre-commit v1.1 to a configural-invariance test in the Vandenberg-Lance (2000) sense: with two human coders and ≥ 50 cases per family, we will test whether each status anchor fires on equivalent observable features across families (configural), whether the conditional probability of firing given case features is equivalent (metric), and whether intercept-equivalent firing licenses cross-family count comparison (scalar). Failure of configural invariance on a status would block cross-family aggregation on that status; failure of metric or scalar invariance would block effect-size comparison. The pre-analysis plan is to be filed at OSF prior to v1.1 coding. A complementary inductive-rigor reading (Gioia, Corley, &amp; Hamilton, 2013) would expect each 2nd-order anchor in Table 1 to be traceable to 1st-order informant-language quotations for each (role × case) cell; the released </w:t>
      </w:r>
      <w:r>
        <w:rPr>
          <w:rFonts w:ascii="Consolas" w:hAnsi="Consolas"/>
          <w:sz w:val="21"/>
        </w:rPr>
        <w:t>quoted_evidence_sentence</w:t>
      </w:r>
      <w:r>
        <w:t xml:space="preserve"> column in </w:t>
      </w:r>
      <w:r>
        <w:rPr>
          <w:rFonts w:ascii="Consolas" w:hAnsi="Consolas"/>
          <w:sz w:val="21"/>
        </w:rPr>
        <w:t>role_coding_master.csv</w:t>
      </w:r>
      <w:r>
        <w:t xml:space="preserve"> is the audit-trail artifact for that test, and the per-status κ failure on </w:t>
      </w:r>
      <w:r>
        <w:rPr>
          <w:i/>
        </w:rPr>
        <w:t>conditional</w:t>
      </w:r>
      <w:r>
        <w:t xml:space="preserve"> and </w:t>
      </w:r>
      <w:r>
        <w:rPr>
          <w:i/>
        </w:rPr>
        <w:t>transformed</w:t>
      </w:r>
      <w:r>
        <w:t xml:space="preserve"> is consistent with weaker 1st-order anchoring on transition-coded statuses, which a v1.1 protocol that strengthens 1st-order quotation discipline on those two categories is the appropriate next instrument for.</w:t>
      </w:r>
    </w:p>
    <w:p>
      <w:r>
        <w:t xml:space="preserve">A HARKing-risk hold-out addresses the pilot-case circularity directly. Excluding the four pilot cases (1 Tornberg, 2 Keith, 7 Baccolini, 21 Larson) and re-running the role-level paired sign test on the remaining 32 cases yields 13 positive differences out of 15 defined roles (two-sided binomial </w:t>
      </w:r>
      <w:r>
        <w:rPr>
          <w:i/>
        </w:rPr>
        <w:t>p</w:t>
      </w:r>
      <w:r>
        <w:t xml:space="preserve"> = 0.007), V_family = 0.253, V_capability = 0.208, and V gap = +0.045 — all consistent in direction with the full-sample values and still statistically significant. The pilot cases contribute to specific role counts (e.g., removing Tornberg drops the routine-coder shrinking count from 15 to 13) but do not drive the H3 verdict.</w:t>
      </w:r>
    </w:p>
    <w:p>
      <w:r>
        <w:t>The main coding pass was first-author-led and is therefore not blind to the paper's expected outcomes (H1, H2, H3 were specified before coding began but the coder held the hypotheses in mind during coding). The second-coder pass pre-specified in Appendix B is blind by construction (the second coder receives only the rubric and the case files, not the expected outcomes or the first coder's evidence summaries), and the Appendix C stranger-coder protocol is designed to replicate the process on cases outside the repository. First-coder non-blindness is therefore a real and disclosed limitation; the pre-specified second-coder pass and the stranger-coder protocol together are the paper's response.</w:t>
      </w:r>
    </w:p>
    <w:p>
      <w:r>
        <w:t xml:space="preserve">We test H3 through two complementary lenses on the same 612 role-coding observations. </w:t>
      </w:r>
      <w:r>
        <w:rPr>
          <w:i/>
        </w:rPr>
        <w:t>Lens 1</w:t>
      </w:r>
      <w:r>
        <w:t xml:space="preserve"> (Table 3a) asks whether </w:t>
      </w:r>
      <w:r>
        <w:rPr>
          <w:i/>
        </w:rPr>
        <w:t>research kind</w:t>
      </w:r>
      <w:r>
        <w:t xml:space="preserve"> — what the study is methodologically doing — predicts role status, pooling across AI capability. </w:t>
      </w:r>
      <w:r>
        <w:rPr>
          <w:i/>
        </w:rPr>
        <w:t>Lens 2</w:t>
      </w:r>
      <w:r>
        <w:t xml:space="preserve"> (Table 3b) asks whether </w:t>
      </w:r>
      <w:r>
        <w:rPr>
          <w:i/>
        </w:rPr>
        <w:t>AI-capability modality</w:t>
      </w:r>
      <w:r>
        <w:t xml:space="preserve"> — generative, agentic, or predictive — predicts role status, pooling across research kind. We adopt the </w:t>
      </w:r>
      <w:r>
        <w:rPr>
          <w:i/>
        </w:rPr>
        <w:t>two-lens</w:t>
      </w:r>
      <w:r>
        <w:t xml:space="preserve"> label by analogy with Hickman et al. (2022), who compare two </w:t>
      </w:r>
      <w:r>
        <w:rPr>
          <w:i/>
        </w:rPr>
        <w:t>literatures</w:t>
      </w:r>
      <w:r>
        <w:t xml:space="preserve"> (computational linguistics vs. organizational practice); here both lenses are cuts on the same 612-cell coding rather than two independent literatures, which is a weaker form of the move. The lens comparison is therefore a descriptive convergence check, not an independent cross-validation. H3 is supported as a repository pattern only if the lens-1 association is consistently larger than the lens-2 association; a comparable or weaker lens-1 effect would indicate that capability modality, not research kind, is doing the work.</w:t>
      </w:r>
    </w:p>
    <w:p>
      <w:r>
        <w:rPr>
          <w:b/>
        </w:rPr>
        <w:t>Table 3a. Status distribution by Case family.</w:t>
      </w:r>
      <w:r>
        <w:t xml:space="preserve"> Each cell is the count of role-rows with that status across all cases in the family (17 role rows per case × </w:t>
      </w:r>
      <w:r>
        <w:rPr>
          <w:rFonts w:ascii="Consolas" w:hAnsi="Consolas"/>
          <w:sz w:val="21"/>
        </w:rPr>
        <w:t>n_cases</w:t>
      </w:r>
      <w:r>
        <w:t>).</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r>
            <w:r>
              <w:rPr>
                <w:b/>
              </w:rPr>
              <w:t>Case family</w:t>
            </w:r>
          </w:p>
        </w:tc>
        <w:tc>
          <w:tcPr>
            <w:tcW w:type="dxa" w:w="864"/>
          </w:tcPr>
          <w:p>
            <w:r>
              <w:rPr>
                <w:b/>
              </w:rPr>
            </w:r>
            <w:r>
              <w:rPr>
                <w:b/>
              </w:rPr>
              <w:t>n_cases</w:t>
            </w:r>
          </w:p>
        </w:tc>
        <w:tc>
          <w:tcPr>
            <w:tcW w:type="dxa" w:w="864"/>
          </w:tcPr>
          <w:p>
            <w:r>
              <w:rPr>
                <w:b/>
              </w:rPr>
            </w:r>
            <w:r>
              <w:rPr>
                <w:b/>
              </w:rPr>
              <w:t>Robust</w:t>
            </w:r>
          </w:p>
        </w:tc>
        <w:tc>
          <w:tcPr>
            <w:tcW w:type="dxa" w:w="864"/>
          </w:tcPr>
          <w:p>
            <w:r>
              <w:rPr>
                <w:b/>
              </w:rPr>
            </w:r>
            <w:r>
              <w:rPr>
                <w:b/>
              </w:rPr>
              <w:t>Conditional</w:t>
            </w:r>
          </w:p>
        </w:tc>
        <w:tc>
          <w:tcPr>
            <w:tcW w:type="dxa" w:w="864"/>
          </w:tcPr>
          <w:p>
            <w:r>
              <w:rPr>
                <w:b/>
              </w:rPr>
            </w:r>
            <w:r>
              <w:rPr>
                <w:b/>
              </w:rPr>
              <w:t>Transformed</w:t>
            </w:r>
          </w:p>
        </w:tc>
        <w:tc>
          <w:tcPr>
            <w:tcW w:type="dxa" w:w="864"/>
          </w:tcPr>
          <w:p>
            <w:r>
              <w:rPr>
                <w:b/>
              </w:rPr>
            </w:r>
            <w:r>
              <w:rPr>
                <w:b/>
              </w:rPr>
              <w:t>Shrinking</w:t>
            </w:r>
          </w:p>
        </w:tc>
        <w:tc>
          <w:tcPr>
            <w:tcW w:type="dxa" w:w="864"/>
          </w:tcPr>
          <w:p>
            <w:r>
              <w:rPr>
                <w:b/>
              </w:rPr>
            </w:r>
            <w:r>
              <w:rPr>
                <w:b/>
              </w:rPr>
              <w:t>Split pressure</w:t>
            </w:r>
          </w:p>
        </w:tc>
        <w:tc>
          <w:tcPr>
            <w:tcW w:type="dxa" w:w="864"/>
          </w:tcPr>
          <w:p>
            <w:r>
              <w:rPr>
                <w:b/>
              </w:rPr>
            </w:r>
            <w:r>
              <w:rPr>
                <w:b/>
              </w:rPr>
              <w:t>Merge pressure</w:t>
            </w:r>
          </w:p>
        </w:tc>
        <w:tc>
          <w:tcPr>
            <w:tcW w:type="dxa" w:w="864"/>
          </w:tcPr>
          <w:p>
            <w:r>
              <w:rPr>
                <w:b/>
              </w:rPr>
            </w:r>
            <w:r>
              <w:rPr>
                <w:b/>
              </w:rPr>
              <w:t>Unclear</w:t>
            </w:r>
          </w:p>
        </w:tc>
        <w:tc>
          <w:tcPr>
            <w:tcW w:type="dxa" w:w="864"/>
          </w:tcPr>
          <w:p>
            <w:r>
              <w:rPr>
                <w:b/>
              </w:rPr>
            </w:r>
            <w:r>
              <w:rPr>
                <w:b/>
              </w:rPr>
              <w:t>Not applicable</w:t>
            </w:r>
          </w:p>
        </w:tc>
      </w:tr>
      <w:tr>
        <w:tc>
          <w:tcPr>
            <w:tcW w:type="dxa" w:w="864"/>
          </w:tcPr>
          <w:p>
            <w:r/>
            <w:r>
              <w:t>Predictive simulation &amp; design</w:t>
            </w:r>
          </w:p>
        </w:tc>
        <w:tc>
          <w:tcPr>
            <w:tcW w:type="dxa" w:w="864"/>
          </w:tcPr>
          <w:p>
            <w:r/>
            <w:r>
              <w:t>7</w:t>
            </w:r>
          </w:p>
        </w:tc>
        <w:tc>
          <w:tcPr>
            <w:tcW w:type="dxa" w:w="864"/>
          </w:tcPr>
          <w:p>
            <w:r/>
            <w:r>
              <w:t>7</w:t>
            </w:r>
          </w:p>
        </w:tc>
        <w:tc>
          <w:tcPr>
            <w:tcW w:type="dxa" w:w="864"/>
          </w:tcPr>
          <w:p>
            <w:r/>
            <w:r>
              <w:t>7</w:t>
            </w:r>
          </w:p>
        </w:tc>
        <w:tc>
          <w:tcPr>
            <w:tcW w:type="dxa" w:w="864"/>
          </w:tcPr>
          <w:p>
            <w:r/>
            <w:r>
              <w:t>9</w:t>
            </w:r>
          </w:p>
        </w:tc>
        <w:tc>
          <w:tcPr>
            <w:tcW w:type="dxa" w:w="864"/>
          </w:tcPr>
          <w:p>
            <w:r/>
            <w:r>
              <w:t>6</w:t>
            </w:r>
          </w:p>
        </w:tc>
        <w:tc>
          <w:tcPr>
            <w:tcW w:type="dxa" w:w="864"/>
          </w:tcPr>
          <w:p>
            <w:r/>
            <w:r>
              <w:t>17</w:t>
            </w:r>
          </w:p>
        </w:tc>
        <w:tc>
          <w:tcPr>
            <w:tcW w:type="dxa" w:w="864"/>
          </w:tcPr>
          <w:p>
            <w:r/>
            <w:r>
              <w:t>0</w:t>
            </w:r>
          </w:p>
        </w:tc>
        <w:tc>
          <w:tcPr>
            <w:tcW w:type="dxa" w:w="864"/>
          </w:tcPr>
          <w:p>
            <w:r/>
            <w:r>
              <w:t>4</w:t>
            </w:r>
          </w:p>
        </w:tc>
        <w:tc>
          <w:tcPr>
            <w:tcW w:type="dxa" w:w="864"/>
          </w:tcPr>
          <w:p>
            <w:r/>
            <w:r>
              <w:t>69</w:t>
            </w:r>
          </w:p>
        </w:tc>
      </w:tr>
      <w:tr>
        <w:tc>
          <w:tcPr>
            <w:tcW w:type="dxa" w:w="864"/>
          </w:tcPr>
          <w:p>
            <w:r/>
            <w:r>
              <w:t>Measurement &amp; coding</w:t>
            </w:r>
          </w:p>
        </w:tc>
        <w:tc>
          <w:tcPr>
            <w:tcW w:type="dxa" w:w="864"/>
          </w:tcPr>
          <w:p>
            <w:r/>
            <w:r>
              <w:t>6</w:t>
            </w:r>
          </w:p>
        </w:tc>
        <w:tc>
          <w:tcPr>
            <w:tcW w:type="dxa" w:w="864"/>
          </w:tcPr>
          <w:p>
            <w:r/>
            <w:r>
              <w:t>18</w:t>
            </w:r>
          </w:p>
        </w:tc>
        <w:tc>
          <w:tcPr>
            <w:tcW w:type="dxa" w:w="864"/>
          </w:tcPr>
          <w:p>
            <w:r/>
            <w:r>
              <w:t>21</w:t>
            </w:r>
          </w:p>
        </w:tc>
        <w:tc>
          <w:tcPr>
            <w:tcW w:type="dxa" w:w="864"/>
          </w:tcPr>
          <w:p>
            <w:r/>
            <w:r>
              <w:t>2</w:t>
            </w:r>
          </w:p>
        </w:tc>
        <w:tc>
          <w:tcPr>
            <w:tcW w:type="dxa" w:w="864"/>
          </w:tcPr>
          <w:p>
            <w:r/>
            <w:r>
              <w:t>5</w:t>
            </w:r>
          </w:p>
        </w:tc>
        <w:tc>
          <w:tcPr>
            <w:tcW w:type="dxa" w:w="864"/>
          </w:tcPr>
          <w:p>
            <w:r/>
            <w:r>
              <w:t>4</w:t>
            </w:r>
          </w:p>
        </w:tc>
        <w:tc>
          <w:tcPr>
            <w:tcW w:type="dxa" w:w="864"/>
          </w:tcPr>
          <w:p>
            <w:r/>
            <w:r>
              <w:t>0</w:t>
            </w:r>
          </w:p>
        </w:tc>
        <w:tc>
          <w:tcPr>
            <w:tcW w:type="dxa" w:w="864"/>
          </w:tcPr>
          <w:p>
            <w:r/>
            <w:r>
              <w:t>5</w:t>
            </w:r>
          </w:p>
        </w:tc>
        <w:tc>
          <w:tcPr>
            <w:tcW w:type="dxa" w:w="864"/>
          </w:tcPr>
          <w:p>
            <w:r/>
            <w:r>
              <w:t>47</w:t>
            </w:r>
          </w:p>
        </w:tc>
      </w:tr>
      <w:tr>
        <w:tc>
          <w:tcPr>
            <w:tcW w:type="dxa" w:w="864"/>
          </w:tcPr>
          <w:p>
            <w:r/>
            <w:r>
              <w:t>Agenda, theory &amp; discovery</w:t>
            </w:r>
          </w:p>
        </w:tc>
        <w:tc>
          <w:tcPr>
            <w:tcW w:type="dxa" w:w="864"/>
          </w:tcPr>
          <w:p>
            <w:r/>
            <w:r>
              <w:t>5</w:t>
            </w:r>
          </w:p>
        </w:tc>
        <w:tc>
          <w:tcPr>
            <w:tcW w:type="dxa" w:w="864"/>
          </w:tcPr>
          <w:p>
            <w:r/>
            <w:r>
              <w:t>2</w:t>
            </w:r>
          </w:p>
        </w:tc>
        <w:tc>
          <w:tcPr>
            <w:tcW w:type="dxa" w:w="864"/>
          </w:tcPr>
          <w:p>
            <w:r/>
            <w:r>
              <w:t>18</w:t>
            </w:r>
          </w:p>
        </w:tc>
        <w:tc>
          <w:tcPr>
            <w:tcW w:type="dxa" w:w="864"/>
          </w:tcPr>
          <w:p>
            <w:r/>
            <w:r>
              <w:t>2</w:t>
            </w:r>
          </w:p>
        </w:tc>
        <w:tc>
          <w:tcPr>
            <w:tcW w:type="dxa" w:w="864"/>
          </w:tcPr>
          <w:p>
            <w:r/>
            <w:r>
              <w:t>6</w:t>
            </w:r>
          </w:p>
        </w:tc>
        <w:tc>
          <w:tcPr>
            <w:tcW w:type="dxa" w:w="864"/>
          </w:tcPr>
          <w:p>
            <w:r/>
            <w:r>
              <w:t>5</w:t>
            </w:r>
          </w:p>
        </w:tc>
        <w:tc>
          <w:tcPr>
            <w:tcW w:type="dxa" w:w="864"/>
          </w:tcPr>
          <w:p>
            <w:r/>
            <w:r>
              <w:t>0</w:t>
            </w:r>
          </w:p>
        </w:tc>
        <w:tc>
          <w:tcPr>
            <w:tcW w:type="dxa" w:w="864"/>
          </w:tcPr>
          <w:p>
            <w:r/>
            <w:r>
              <w:t>4</w:t>
            </w:r>
          </w:p>
        </w:tc>
        <w:tc>
          <w:tcPr>
            <w:tcW w:type="dxa" w:w="864"/>
          </w:tcPr>
          <w:p>
            <w:r/>
            <w:r>
              <w:t>48</w:t>
            </w:r>
          </w:p>
        </w:tc>
      </w:tr>
      <w:tr>
        <w:tc>
          <w:tcPr>
            <w:tcW w:type="dxa" w:w="864"/>
          </w:tcPr>
          <w:p>
            <w:r/>
            <w:r>
              <w:t>Evidence synthesis &amp; corpus</w:t>
            </w:r>
          </w:p>
        </w:tc>
        <w:tc>
          <w:tcPr>
            <w:tcW w:type="dxa" w:w="864"/>
          </w:tcPr>
          <w:p>
            <w:r/>
            <w:r>
              <w:t>5</w:t>
            </w:r>
          </w:p>
        </w:tc>
        <w:tc>
          <w:tcPr>
            <w:tcW w:type="dxa" w:w="864"/>
          </w:tcPr>
          <w:p>
            <w:r/>
            <w:r>
              <w:t>6</w:t>
            </w:r>
          </w:p>
        </w:tc>
        <w:tc>
          <w:tcPr>
            <w:tcW w:type="dxa" w:w="864"/>
          </w:tcPr>
          <w:p>
            <w:r/>
            <w:r>
              <w:t>9</w:t>
            </w:r>
          </w:p>
        </w:tc>
        <w:tc>
          <w:tcPr>
            <w:tcW w:type="dxa" w:w="864"/>
          </w:tcPr>
          <w:p>
            <w:r/>
            <w:r>
              <w:t>5</w:t>
            </w:r>
          </w:p>
        </w:tc>
        <w:tc>
          <w:tcPr>
            <w:tcW w:type="dxa" w:w="864"/>
          </w:tcPr>
          <w:p>
            <w:r/>
            <w:r>
              <w:t>10</w:t>
            </w:r>
          </w:p>
        </w:tc>
        <w:tc>
          <w:tcPr>
            <w:tcW w:type="dxa" w:w="864"/>
          </w:tcPr>
          <w:p>
            <w:r/>
            <w:r>
              <w:t>0</w:t>
            </w:r>
          </w:p>
        </w:tc>
        <w:tc>
          <w:tcPr>
            <w:tcW w:type="dxa" w:w="864"/>
          </w:tcPr>
          <w:p>
            <w:r/>
            <w:r>
              <w:t>2</w:t>
            </w:r>
          </w:p>
        </w:tc>
        <w:tc>
          <w:tcPr>
            <w:tcW w:type="dxa" w:w="864"/>
          </w:tcPr>
          <w:p>
            <w:r/>
            <w:r>
              <w:t>12</w:t>
            </w:r>
          </w:p>
        </w:tc>
        <w:tc>
          <w:tcPr>
            <w:tcW w:type="dxa" w:w="864"/>
          </w:tcPr>
          <w:p>
            <w:r/>
            <w:r>
              <w:t>41</w:t>
            </w:r>
          </w:p>
        </w:tc>
      </w:tr>
      <w:tr>
        <w:tc>
          <w:tcPr>
            <w:tcW w:type="dxa" w:w="864"/>
          </w:tcPr>
          <w:p>
            <w:r/>
            <w:r>
              <w:t>Interviews, fieldwork &amp; qualitative interpretation</w:t>
            </w:r>
          </w:p>
        </w:tc>
        <w:tc>
          <w:tcPr>
            <w:tcW w:type="dxa" w:w="864"/>
          </w:tcPr>
          <w:p>
            <w:r/>
            <w:r>
              <w:t>5</w:t>
            </w:r>
          </w:p>
        </w:tc>
        <w:tc>
          <w:tcPr>
            <w:tcW w:type="dxa" w:w="864"/>
          </w:tcPr>
          <w:p>
            <w:r/>
            <w:r>
              <w:t>10</w:t>
            </w:r>
          </w:p>
        </w:tc>
        <w:tc>
          <w:tcPr>
            <w:tcW w:type="dxa" w:w="864"/>
          </w:tcPr>
          <w:p>
            <w:r/>
            <w:r>
              <w:t>18</w:t>
            </w:r>
          </w:p>
        </w:tc>
        <w:tc>
          <w:tcPr>
            <w:tcW w:type="dxa" w:w="864"/>
          </w:tcPr>
          <w:p>
            <w:r/>
            <w:r>
              <w:t>6</w:t>
            </w:r>
          </w:p>
        </w:tc>
        <w:tc>
          <w:tcPr>
            <w:tcW w:type="dxa" w:w="864"/>
          </w:tcPr>
          <w:p>
            <w:r/>
            <w:r>
              <w:t>2</w:t>
            </w:r>
          </w:p>
        </w:tc>
        <w:tc>
          <w:tcPr>
            <w:tcW w:type="dxa" w:w="864"/>
          </w:tcPr>
          <w:p>
            <w:r/>
            <w:r>
              <w:t>12</w:t>
            </w:r>
          </w:p>
        </w:tc>
        <w:tc>
          <w:tcPr>
            <w:tcW w:type="dxa" w:w="864"/>
          </w:tcPr>
          <w:p>
            <w:r/>
            <w:r>
              <w:t>0</w:t>
            </w:r>
          </w:p>
        </w:tc>
        <w:tc>
          <w:tcPr>
            <w:tcW w:type="dxa" w:w="864"/>
          </w:tcPr>
          <w:p>
            <w:r/>
            <w:r>
              <w:t>2</w:t>
            </w:r>
          </w:p>
        </w:tc>
        <w:tc>
          <w:tcPr>
            <w:tcW w:type="dxa" w:w="864"/>
          </w:tcPr>
          <w:p>
            <w:r/>
            <w:r>
              <w:t>35</w:t>
            </w:r>
          </w:p>
        </w:tc>
      </w:tr>
      <w:tr>
        <w:tc>
          <w:tcPr>
            <w:tcW w:type="dxa" w:w="864"/>
          </w:tcPr>
          <w:p>
            <w:r/>
            <w:r>
              <w:t>Governance, authorship &amp; labor</w:t>
            </w:r>
          </w:p>
        </w:tc>
        <w:tc>
          <w:tcPr>
            <w:tcW w:type="dxa" w:w="864"/>
          </w:tcPr>
          <w:p>
            <w:r/>
            <w:r>
              <w:t>3</w:t>
            </w:r>
          </w:p>
        </w:tc>
        <w:tc>
          <w:tcPr>
            <w:tcW w:type="dxa" w:w="864"/>
          </w:tcPr>
          <w:p>
            <w:r/>
            <w:r>
              <w:t>2</w:t>
            </w:r>
          </w:p>
        </w:tc>
        <w:tc>
          <w:tcPr>
            <w:tcW w:type="dxa" w:w="864"/>
          </w:tcPr>
          <w:p>
            <w:r/>
            <w:r>
              <w:t>6</w:t>
            </w:r>
          </w:p>
        </w:tc>
        <w:tc>
          <w:tcPr>
            <w:tcW w:type="dxa" w:w="864"/>
          </w:tcPr>
          <w:p>
            <w:r/>
            <w:r>
              <w:t>2</w:t>
            </w:r>
          </w:p>
        </w:tc>
        <w:tc>
          <w:tcPr>
            <w:tcW w:type="dxa" w:w="864"/>
          </w:tcPr>
          <w:p>
            <w:r/>
            <w:r>
              <w:t>1</w:t>
            </w:r>
          </w:p>
        </w:tc>
        <w:tc>
          <w:tcPr>
            <w:tcW w:type="dxa" w:w="864"/>
          </w:tcPr>
          <w:p>
            <w:r/>
            <w:r>
              <w:t>0</w:t>
            </w:r>
          </w:p>
        </w:tc>
        <w:tc>
          <w:tcPr>
            <w:tcW w:type="dxa" w:w="864"/>
          </w:tcPr>
          <w:p>
            <w:r/>
            <w:r>
              <w:t>0</w:t>
            </w:r>
          </w:p>
        </w:tc>
        <w:tc>
          <w:tcPr>
            <w:tcW w:type="dxa" w:w="864"/>
          </w:tcPr>
          <w:p>
            <w:r/>
            <w:r>
              <w:t>4</w:t>
            </w:r>
          </w:p>
        </w:tc>
        <w:tc>
          <w:tcPr>
            <w:tcW w:type="dxa" w:w="864"/>
          </w:tcPr>
          <w:p>
            <w:r/>
            <w:r>
              <w:t>36</w:t>
            </w:r>
          </w:p>
        </w:tc>
      </w:tr>
      <w:tr>
        <w:tc>
          <w:tcPr>
            <w:tcW w:type="dxa" w:w="864"/>
          </w:tcPr>
          <w:p>
            <w:r/>
            <w:r>
              <w:t>Reproducibility &amp; autonomous research</w:t>
            </w:r>
          </w:p>
        </w:tc>
        <w:tc>
          <w:tcPr>
            <w:tcW w:type="dxa" w:w="864"/>
          </w:tcPr>
          <w:p>
            <w:r/>
            <w:r>
              <w:t>3</w:t>
            </w:r>
          </w:p>
        </w:tc>
        <w:tc>
          <w:tcPr>
            <w:tcW w:type="dxa" w:w="864"/>
          </w:tcPr>
          <w:p>
            <w:r/>
            <w:r>
              <w:t>5</w:t>
            </w:r>
          </w:p>
        </w:tc>
        <w:tc>
          <w:tcPr>
            <w:tcW w:type="dxa" w:w="864"/>
          </w:tcPr>
          <w:p>
            <w:r/>
            <w:r>
              <w:t>7</w:t>
            </w:r>
          </w:p>
        </w:tc>
        <w:tc>
          <w:tcPr>
            <w:tcW w:type="dxa" w:w="864"/>
          </w:tcPr>
          <w:p>
            <w:r/>
            <w:r>
              <w:t>1</w:t>
            </w:r>
          </w:p>
        </w:tc>
        <w:tc>
          <w:tcPr>
            <w:tcW w:type="dxa" w:w="864"/>
          </w:tcPr>
          <w:p>
            <w:r/>
            <w:r>
              <w:t>6</w:t>
            </w:r>
          </w:p>
        </w:tc>
        <w:tc>
          <w:tcPr>
            <w:tcW w:type="dxa" w:w="864"/>
          </w:tcPr>
          <w:p>
            <w:r/>
            <w:r>
              <w:t>0</w:t>
            </w:r>
          </w:p>
        </w:tc>
        <w:tc>
          <w:tcPr>
            <w:tcW w:type="dxa" w:w="864"/>
          </w:tcPr>
          <w:p>
            <w:r/>
            <w:r>
              <w:t>0</w:t>
            </w:r>
          </w:p>
        </w:tc>
        <w:tc>
          <w:tcPr>
            <w:tcW w:type="dxa" w:w="864"/>
          </w:tcPr>
          <w:p>
            <w:r/>
            <w:r>
              <w:t>5</w:t>
            </w:r>
          </w:p>
        </w:tc>
        <w:tc>
          <w:tcPr>
            <w:tcW w:type="dxa" w:w="864"/>
          </w:tcPr>
          <w:p>
            <w:r/>
            <w:r>
              <w:t>27</w:t>
            </w:r>
          </w:p>
        </w:tc>
      </w:tr>
      <w:tr>
        <w:tc>
          <w:tcPr>
            <w:tcW w:type="dxa" w:w="864"/>
          </w:tcPr>
          <w:p>
            <w:r/>
            <w:r>
              <w:t>Pedagogy &amp; training</w:t>
            </w:r>
          </w:p>
        </w:tc>
        <w:tc>
          <w:tcPr>
            <w:tcW w:type="dxa" w:w="864"/>
          </w:tcPr>
          <w:p>
            <w:r/>
            <w:r>
              <w:t>2</w:t>
            </w:r>
          </w:p>
        </w:tc>
        <w:tc>
          <w:tcPr>
            <w:tcW w:type="dxa" w:w="864"/>
          </w:tcPr>
          <w:p>
            <w:r/>
            <w:r>
              <w:t>6</w:t>
            </w:r>
          </w:p>
        </w:tc>
        <w:tc>
          <w:tcPr>
            <w:tcW w:type="dxa" w:w="864"/>
          </w:tcPr>
          <w:p>
            <w:r/>
            <w:r>
              <w:t>6</w:t>
            </w:r>
          </w:p>
        </w:tc>
        <w:tc>
          <w:tcPr>
            <w:tcW w:type="dxa" w:w="864"/>
          </w:tcPr>
          <w:p>
            <w:r/>
            <w:r>
              <w:t>3</w:t>
            </w:r>
          </w:p>
        </w:tc>
        <w:tc>
          <w:tcPr>
            <w:tcW w:type="dxa" w:w="864"/>
          </w:tcPr>
          <w:p>
            <w:r/>
            <w:r>
              <w:t>4</w:t>
            </w:r>
          </w:p>
        </w:tc>
        <w:tc>
          <w:tcPr>
            <w:tcW w:type="dxa" w:w="864"/>
          </w:tcPr>
          <w:p>
            <w:r/>
            <w:r>
              <w:t>1</w:t>
            </w:r>
          </w:p>
        </w:tc>
        <w:tc>
          <w:tcPr>
            <w:tcW w:type="dxa" w:w="864"/>
          </w:tcPr>
          <w:p>
            <w:r/>
            <w:r>
              <w:t>0</w:t>
            </w:r>
          </w:p>
        </w:tc>
        <w:tc>
          <w:tcPr>
            <w:tcW w:type="dxa" w:w="864"/>
          </w:tcPr>
          <w:p>
            <w:r/>
            <w:r>
              <w:t>1</w:t>
            </w:r>
          </w:p>
        </w:tc>
        <w:tc>
          <w:tcPr>
            <w:tcW w:type="dxa" w:w="864"/>
          </w:tcPr>
          <w:p>
            <w:r/>
            <w:r>
              <w:t>13</w:t>
            </w:r>
          </w:p>
        </w:tc>
      </w:tr>
      <w:tr>
        <w:tc>
          <w:tcPr>
            <w:tcW w:type="dxa" w:w="864"/>
          </w:tcPr>
          <w:p>
            <w:r/>
            <w:r>
              <w:rPr>
                <w:b/>
              </w:rPr>
              <w:t>TOTAL</w:t>
            </w:r>
          </w:p>
        </w:tc>
        <w:tc>
          <w:tcPr>
            <w:tcW w:type="dxa" w:w="864"/>
          </w:tcPr>
          <w:p>
            <w:r/>
            <w:r>
              <w:rPr>
                <w:b/>
              </w:rPr>
              <w:t>36</w:t>
            </w:r>
          </w:p>
        </w:tc>
        <w:tc>
          <w:tcPr>
            <w:tcW w:type="dxa" w:w="864"/>
          </w:tcPr>
          <w:p>
            <w:r/>
            <w:r>
              <w:rPr>
                <w:b/>
              </w:rPr>
              <w:t>56</w:t>
            </w:r>
          </w:p>
        </w:tc>
        <w:tc>
          <w:tcPr>
            <w:tcW w:type="dxa" w:w="864"/>
          </w:tcPr>
          <w:p>
            <w:r/>
            <w:r>
              <w:rPr>
                <w:b/>
              </w:rPr>
              <w:t>92</w:t>
            </w:r>
          </w:p>
        </w:tc>
        <w:tc>
          <w:tcPr>
            <w:tcW w:type="dxa" w:w="864"/>
          </w:tcPr>
          <w:p>
            <w:r/>
            <w:r>
              <w:rPr>
                <w:b/>
              </w:rPr>
              <w:t>30</w:t>
            </w:r>
          </w:p>
        </w:tc>
        <w:tc>
          <w:tcPr>
            <w:tcW w:type="dxa" w:w="864"/>
          </w:tcPr>
          <w:p>
            <w:r/>
            <w:r>
              <w:rPr>
                <w:b/>
              </w:rPr>
              <w:t>40</w:t>
            </w:r>
          </w:p>
        </w:tc>
        <w:tc>
          <w:tcPr>
            <w:tcW w:type="dxa" w:w="864"/>
          </w:tcPr>
          <w:p>
            <w:r/>
            <w:r>
              <w:rPr>
                <w:b/>
              </w:rPr>
              <w:t>39</w:t>
            </w:r>
          </w:p>
        </w:tc>
        <w:tc>
          <w:tcPr>
            <w:tcW w:type="dxa" w:w="864"/>
          </w:tcPr>
          <w:p>
            <w:r/>
            <w:r>
              <w:rPr>
                <w:b/>
              </w:rPr>
              <w:t>2</w:t>
            </w:r>
          </w:p>
        </w:tc>
        <w:tc>
          <w:tcPr>
            <w:tcW w:type="dxa" w:w="864"/>
          </w:tcPr>
          <w:p>
            <w:r/>
            <w:r>
              <w:rPr>
                <w:b/>
              </w:rPr>
              <w:t>37</w:t>
            </w:r>
          </w:p>
        </w:tc>
        <w:tc>
          <w:tcPr>
            <w:tcW w:type="dxa" w:w="864"/>
          </w:tcPr>
          <w:p>
            <w:r/>
            <w:r>
              <w:rPr>
                <w:b/>
              </w:rPr>
              <w:t>316</w:t>
            </w:r>
          </w:p>
        </w:tc>
      </w:tr>
    </w:tbl>
    <w:p/>
    <w:p>
      <w:r>
        <w:rPr>
          <w:b/>
        </w:rPr>
        <w:t>Table 3b. Status distribution by Primary AI capability.</w:t>
      </w:r>
      <w:r>
        <w:t xml:space="preserve"> Same aggregation as Table 3a, grouped by AI-capability label instead of case family.</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r>
            <w:r>
              <w:rPr>
                <w:b/>
              </w:rPr>
              <w:t>Primary AI capability</w:t>
            </w:r>
          </w:p>
        </w:tc>
        <w:tc>
          <w:tcPr>
            <w:tcW w:type="dxa" w:w="864"/>
          </w:tcPr>
          <w:p>
            <w:r>
              <w:rPr>
                <w:b/>
              </w:rPr>
            </w:r>
            <w:r>
              <w:rPr>
                <w:b/>
              </w:rPr>
              <w:t>n_cases</w:t>
            </w:r>
          </w:p>
        </w:tc>
        <w:tc>
          <w:tcPr>
            <w:tcW w:type="dxa" w:w="864"/>
          </w:tcPr>
          <w:p>
            <w:r>
              <w:rPr>
                <w:b/>
              </w:rPr>
            </w:r>
            <w:r>
              <w:rPr>
                <w:b/>
              </w:rPr>
              <w:t>Robust</w:t>
            </w:r>
          </w:p>
        </w:tc>
        <w:tc>
          <w:tcPr>
            <w:tcW w:type="dxa" w:w="864"/>
          </w:tcPr>
          <w:p>
            <w:r>
              <w:rPr>
                <w:b/>
              </w:rPr>
            </w:r>
            <w:r>
              <w:rPr>
                <w:b/>
              </w:rPr>
              <w:t>Conditional</w:t>
            </w:r>
          </w:p>
        </w:tc>
        <w:tc>
          <w:tcPr>
            <w:tcW w:type="dxa" w:w="864"/>
          </w:tcPr>
          <w:p>
            <w:r>
              <w:rPr>
                <w:b/>
              </w:rPr>
            </w:r>
            <w:r>
              <w:rPr>
                <w:b/>
              </w:rPr>
              <w:t>Transformed</w:t>
            </w:r>
          </w:p>
        </w:tc>
        <w:tc>
          <w:tcPr>
            <w:tcW w:type="dxa" w:w="864"/>
          </w:tcPr>
          <w:p>
            <w:r>
              <w:rPr>
                <w:b/>
              </w:rPr>
            </w:r>
            <w:r>
              <w:rPr>
                <w:b/>
              </w:rPr>
              <w:t>Shrinking</w:t>
            </w:r>
          </w:p>
        </w:tc>
        <w:tc>
          <w:tcPr>
            <w:tcW w:type="dxa" w:w="864"/>
          </w:tcPr>
          <w:p>
            <w:r>
              <w:rPr>
                <w:b/>
              </w:rPr>
            </w:r>
            <w:r>
              <w:rPr>
                <w:b/>
              </w:rPr>
              <w:t>Split pressure</w:t>
            </w:r>
          </w:p>
        </w:tc>
        <w:tc>
          <w:tcPr>
            <w:tcW w:type="dxa" w:w="864"/>
          </w:tcPr>
          <w:p>
            <w:r>
              <w:rPr>
                <w:b/>
              </w:rPr>
            </w:r>
            <w:r>
              <w:rPr>
                <w:b/>
              </w:rPr>
              <w:t>Merge pressure</w:t>
            </w:r>
          </w:p>
        </w:tc>
        <w:tc>
          <w:tcPr>
            <w:tcW w:type="dxa" w:w="864"/>
          </w:tcPr>
          <w:p>
            <w:r>
              <w:rPr>
                <w:b/>
              </w:rPr>
            </w:r>
            <w:r>
              <w:rPr>
                <w:b/>
              </w:rPr>
              <w:t>Unclear</w:t>
            </w:r>
          </w:p>
        </w:tc>
        <w:tc>
          <w:tcPr>
            <w:tcW w:type="dxa" w:w="864"/>
          </w:tcPr>
          <w:p>
            <w:r>
              <w:rPr>
                <w:b/>
              </w:rPr>
            </w:r>
            <w:r>
              <w:rPr>
                <w:b/>
              </w:rPr>
              <w:t>Not applicable</w:t>
            </w:r>
          </w:p>
        </w:tc>
      </w:tr>
      <w:tr>
        <w:tc>
          <w:tcPr>
            <w:tcW w:type="dxa" w:w="864"/>
          </w:tcPr>
          <w:p>
            <w:r/>
            <w:r>
              <w:t>Generative</w:t>
            </w:r>
          </w:p>
        </w:tc>
        <w:tc>
          <w:tcPr>
            <w:tcW w:type="dxa" w:w="864"/>
          </w:tcPr>
          <w:p>
            <w:r/>
            <w:r>
              <w:t>18</w:t>
            </w:r>
          </w:p>
        </w:tc>
        <w:tc>
          <w:tcPr>
            <w:tcW w:type="dxa" w:w="864"/>
          </w:tcPr>
          <w:p>
            <w:r/>
            <w:r>
              <w:t>26</w:t>
            </w:r>
          </w:p>
        </w:tc>
        <w:tc>
          <w:tcPr>
            <w:tcW w:type="dxa" w:w="864"/>
          </w:tcPr>
          <w:p>
            <w:r/>
            <w:r>
              <w:t>58</w:t>
            </w:r>
          </w:p>
        </w:tc>
        <w:tc>
          <w:tcPr>
            <w:tcW w:type="dxa" w:w="864"/>
          </w:tcPr>
          <w:p>
            <w:r/>
            <w:r>
              <w:t>13</w:t>
            </w:r>
          </w:p>
        </w:tc>
        <w:tc>
          <w:tcPr>
            <w:tcW w:type="dxa" w:w="864"/>
          </w:tcPr>
          <w:p>
            <w:r/>
            <w:r>
              <w:t>12</w:t>
            </w:r>
          </w:p>
        </w:tc>
        <w:tc>
          <w:tcPr>
            <w:tcW w:type="dxa" w:w="864"/>
          </w:tcPr>
          <w:p>
            <w:r/>
            <w:r>
              <w:t>11</w:t>
            </w:r>
          </w:p>
        </w:tc>
        <w:tc>
          <w:tcPr>
            <w:tcW w:type="dxa" w:w="864"/>
          </w:tcPr>
          <w:p>
            <w:r/>
            <w:r>
              <w:t>2</w:t>
            </w:r>
          </w:p>
        </w:tc>
        <w:tc>
          <w:tcPr>
            <w:tcW w:type="dxa" w:w="864"/>
          </w:tcPr>
          <w:p>
            <w:r/>
            <w:r>
              <w:t>18</w:t>
            </w:r>
          </w:p>
        </w:tc>
        <w:tc>
          <w:tcPr>
            <w:tcW w:type="dxa" w:w="864"/>
          </w:tcPr>
          <w:p>
            <w:r/>
            <w:r>
              <w:t>166</w:t>
            </w:r>
          </w:p>
        </w:tc>
      </w:tr>
      <w:tr>
        <w:tc>
          <w:tcPr>
            <w:tcW w:type="dxa" w:w="864"/>
          </w:tcPr>
          <w:p>
            <w:r/>
            <w:r>
              <w:t>Agentic</w:t>
            </w:r>
          </w:p>
        </w:tc>
        <w:tc>
          <w:tcPr>
            <w:tcW w:type="dxa" w:w="864"/>
          </w:tcPr>
          <w:p>
            <w:r/>
            <w:r>
              <w:t>12</w:t>
            </w:r>
          </w:p>
        </w:tc>
        <w:tc>
          <w:tcPr>
            <w:tcW w:type="dxa" w:w="864"/>
          </w:tcPr>
          <w:p>
            <w:r/>
            <w:r>
              <w:t>16</w:t>
            </w:r>
          </w:p>
        </w:tc>
        <w:tc>
          <w:tcPr>
            <w:tcW w:type="dxa" w:w="864"/>
          </w:tcPr>
          <w:p>
            <w:r/>
            <w:r>
              <w:t>25</w:t>
            </w:r>
          </w:p>
        </w:tc>
        <w:tc>
          <w:tcPr>
            <w:tcW w:type="dxa" w:w="864"/>
          </w:tcPr>
          <w:p>
            <w:r/>
            <w:r>
              <w:t>13</w:t>
            </w:r>
          </w:p>
        </w:tc>
        <w:tc>
          <w:tcPr>
            <w:tcW w:type="dxa" w:w="864"/>
          </w:tcPr>
          <w:p>
            <w:r/>
            <w:r>
              <w:t>22</w:t>
            </w:r>
          </w:p>
        </w:tc>
        <w:tc>
          <w:tcPr>
            <w:tcW w:type="dxa" w:w="864"/>
          </w:tcPr>
          <w:p>
            <w:r/>
            <w:r>
              <w:t>16</w:t>
            </w:r>
          </w:p>
        </w:tc>
        <w:tc>
          <w:tcPr>
            <w:tcW w:type="dxa" w:w="864"/>
          </w:tcPr>
          <w:p>
            <w:r/>
            <w:r>
              <w:t>0</w:t>
            </w:r>
          </w:p>
        </w:tc>
        <w:tc>
          <w:tcPr>
            <w:tcW w:type="dxa" w:w="864"/>
          </w:tcPr>
          <w:p>
            <w:r/>
            <w:r>
              <w:t>13</w:t>
            </w:r>
          </w:p>
        </w:tc>
        <w:tc>
          <w:tcPr>
            <w:tcW w:type="dxa" w:w="864"/>
          </w:tcPr>
          <w:p>
            <w:r/>
            <w:r>
              <w:t>99</w:t>
            </w:r>
          </w:p>
        </w:tc>
      </w:tr>
      <w:tr>
        <w:tc>
          <w:tcPr>
            <w:tcW w:type="dxa" w:w="864"/>
          </w:tcPr>
          <w:p>
            <w:r/>
            <w:r>
              <w:t>Predictive</w:t>
            </w:r>
          </w:p>
        </w:tc>
        <w:tc>
          <w:tcPr>
            <w:tcW w:type="dxa" w:w="864"/>
          </w:tcPr>
          <w:p>
            <w:r/>
            <w:r>
              <w:t>6</w:t>
            </w:r>
          </w:p>
        </w:tc>
        <w:tc>
          <w:tcPr>
            <w:tcW w:type="dxa" w:w="864"/>
          </w:tcPr>
          <w:p>
            <w:r/>
            <w:r>
              <w:t>14</w:t>
            </w:r>
          </w:p>
        </w:tc>
        <w:tc>
          <w:tcPr>
            <w:tcW w:type="dxa" w:w="864"/>
          </w:tcPr>
          <w:p>
            <w:r/>
            <w:r>
              <w:t>9</w:t>
            </w:r>
          </w:p>
        </w:tc>
        <w:tc>
          <w:tcPr>
            <w:tcW w:type="dxa" w:w="864"/>
          </w:tcPr>
          <w:p>
            <w:r/>
            <w:r>
              <w:t>4</w:t>
            </w:r>
          </w:p>
        </w:tc>
        <w:tc>
          <w:tcPr>
            <w:tcW w:type="dxa" w:w="864"/>
          </w:tcPr>
          <w:p>
            <w:r/>
            <w:r>
              <w:t>6</w:t>
            </w:r>
          </w:p>
        </w:tc>
        <w:tc>
          <w:tcPr>
            <w:tcW w:type="dxa" w:w="864"/>
          </w:tcPr>
          <w:p>
            <w:r/>
            <w:r>
              <w:t>12</w:t>
            </w:r>
          </w:p>
        </w:tc>
        <w:tc>
          <w:tcPr>
            <w:tcW w:type="dxa" w:w="864"/>
          </w:tcPr>
          <w:p>
            <w:r/>
            <w:r>
              <w:t>0</w:t>
            </w:r>
          </w:p>
        </w:tc>
        <w:tc>
          <w:tcPr>
            <w:tcW w:type="dxa" w:w="864"/>
          </w:tcPr>
          <w:p>
            <w:r/>
            <w:r>
              <w:t>6</w:t>
            </w:r>
          </w:p>
        </w:tc>
        <w:tc>
          <w:tcPr>
            <w:tcW w:type="dxa" w:w="864"/>
          </w:tcPr>
          <w:p>
            <w:r/>
            <w:r>
              <w:t>51</w:t>
            </w:r>
          </w:p>
        </w:tc>
      </w:tr>
      <w:tr>
        <w:tc>
          <w:tcPr>
            <w:tcW w:type="dxa" w:w="864"/>
          </w:tcPr>
          <w:p>
            <w:r/>
            <w:r>
              <w:rPr>
                <w:b/>
              </w:rPr>
              <w:t>TOTAL</w:t>
            </w:r>
          </w:p>
        </w:tc>
        <w:tc>
          <w:tcPr>
            <w:tcW w:type="dxa" w:w="864"/>
          </w:tcPr>
          <w:p>
            <w:r/>
            <w:r>
              <w:rPr>
                <w:b/>
              </w:rPr>
              <w:t>36</w:t>
            </w:r>
          </w:p>
        </w:tc>
        <w:tc>
          <w:tcPr>
            <w:tcW w:type="dxa" w:w="864"/>
          </w:tcPr>
          <w:p>
            <w:r/>
            <w:r>
              <w:rPr>
                <w:b/>
              </w:rPr>
              <w:t>56</w:t>
            </w:r>
          </w:p>
        </w:tc>
        <w:tc>
          <w:tcPr>
            <w:tcW w:type="dxa" w:w="864"/>
          </w:tcPr>
          <w:p>
            <w:r/>
            <w:r>
              <w:rPr>
                <w:b/>
              </w:rPr>
              <w:t>92</w:t>
            </w:r>
          </w:p>
        </w:tc>
        <w:tc>
          <w:tcPr>
            <w:tcW w:type="dxa" w:w="864"/>
          </w:tcPr>
          <w:p>
            <w:r/>
            <w:r>
              <w:rPr>
                <w:b/>
              </w:rPr>
              <w:t>30</w:t>
            </w:r>
          </w:p>
        </w:tc>
        <w:tc>
          <w:tcPr>
            <w:tcW w:type="dxa" w:w="864"/>
          </w:tcPr>
          <w:p>
            <w:r/>
            <w:r>
              <w:rPr>
                <w:b/>
              </w:rPr>
              <w:t>40</w:t>
            </w:r>
          </w:p>
        </w:tc>
        <w:tc>
          <w:tcPr>
            <w:tcW w:type="dxa" w:w="864"/>
          </w:tcPr>
          <w:p>
            <w:r/>
            <w:r>
              <w:rPr>
                <w:b/>
              </w:rPr>
              <w:t>39</w:t>
            </w:r>
          </w:p>
        </w:tc>
        <w:tc>
          <w:tcPr>
            <w:tcW w:type="dxa" w:w="864"/>
          </w:tcPr>
          <w:p>
            <w:r/>
            <w:r>
              <w:rPr>
                <w:b/>
              </w:rPr>
              <w:t>2</w:t>
            </w:r>
          </w:p>
        </w:tc>
        <w:tc>
          <w:tcPr>
            <w:tcW w:type="dxa" w:w="864"/>
          </w:tcPr>
          <w:p>
            <w:r/>
            <w:r>
              <w:rPr>
                <w:b/>
              </w:rPr>
              <w:t>37</w:t>
            </w:r>
          </w:p>
        </w:tc>
        <w:tc>
          <w:tcPr>
            <w:tcW w:type="dxa" w:w="864"/>
          </w:tcPr>
          <w:p>
            <w:r/>
            <w:r>
              <w:rPr>
                <w:b/>
              </w:rPr>
              <w:t>316</w:t>
            </w:r>
          </w:p>
        </w:tc>
      </w:tr>
    </w:tbl>
    <w:p/>
    <w:p>
      <w:r>
        <w:rPr>
          <w:i/>
        </w:rPr>
        <w:t>Lens 1 verdict.</w:t>
      </w:r>
      <w:r>
        <w:t xml:space="preserve"> Case family clearly matters. Measurement &amp; coding is robust-heavy (18 robust / 21 conditional / 5 shrinking); Evidence synthesis &amp; corpus is shrinking-heavy (10 shrinking / 6 robust); Agenda, theory &amp; discovery is conditional-heavy (18 conditional / 2 robust); Interviews, fieldwork &amp; qualitative interpretation is split-pressure-heavy (12 split pressure). These are differences of kind, not only of degree. </w:t>
      </w:r>
      <w:r>
        <w:rPr>
          <w:i/>
        </w:rPr>
        <w:t>Lens 2 verdict.</w:t>
      </w:r>
      <w:r>
        <w:t xml:space="preserve"> AI capability also matters. Generative cases lean conditional; agentic cases carry most of the shrinkage (22 of 40 observations) and the highest split-pressure density per case; predictive cases are relatively robust but concentrate transportability-related split pressure. </w:t>
      </w:r>
      <w:r>
        <w:rPr>
          <w:i/>
        </w:rPr>
        <w:t>Combined verdict.</w:t>
      </w:r>
      <w:r>
        <w:t xml:space="preserve"> The pre-specified primary confirmatory test, as documented in </w:t>
      </w:r>
      <w:r>
        <w:rPr>
          <w:rFonts w:ascii="Consolas" w:hAnsi="Consolas"/>
          <w:sz w:val="21"/>
        </w:rPr>
        <w:t>30_reviews/OSF_preregistration.md</w:t>
      </w:r>
      <w:r>
        <w:t xml:space="preserve"> and the Transparency block, is the per-role paired sign test (</w:t>
      </w:r>
      <w:r>
        <w:rPr>
          <w:i/>
        </w:rPr>
        <w:t>p</w:t>
      </w:r>
      <w:r>
        <w:t xml:space="preserve"> = 0.004 on 14 of 16 positive differences). On the same 16 paired differences the paired Wilcoxon signed-rank yields </w:t>
      </w:r>
      <w:r>
        <w:rPr>
          <w:i/>
        </w:rPr>
        <w:t>W</w:t>
      </w:r>
      <w:r>
        <w:t xml:space="preserve"> = 7, </w:t>
      </w:r>
      <w:r>
        <w:rPr>
          <w:i/>
        </w:rPr>
        <w:t>p</w:t>
      </w:r>
      <w:r>
        <w:t xml:space="preserve"> = 0.0006; we report the Wilcoxon as the headline statistic because it uses the </w:t>
      </w:r>
      <w:r>
        <w:rPr>
          <w:i/>
        </w:rPr>
        <w:t>magnitude</w:t>
      </w:r>
      <w:r>
        <w:t xml:space="preserve"> of paired V differences rather than only their sign, but we flag this as a post-hoc choice of </w:t>
      </w:r>
      <w:r>
        <w:rPr>
          <w:i/>
        </w:rPr>
        <w:t>statistic</w:t>
      </w:r>
      <w:r>
        <w:t xml:space="preserve"> on the same 16 paired comparisons rather than a post-hoc choice of test family — both tests reject the null at α = 0.05 and both survive Holm correction across the six-test confirmatory family enumerated below. The substantive verdict therefore does not depend on the choice between the pre-committed sign test and the headline Wilcoxon. Median V_family = 0.587 and median V_capability = 0.441. A χ² test of independence on the aggregate status × case-family table yields χ² = 87.67 (df = 35, </w:t>
      </w:r>
      <w:r>
        <w:rPr>
          <w:i/>
        </w:rPr>
        <w:t>p</w:t>
      </w:r>
      <w:r>
        <w:t xml:space="preserve"> &lt; 10⁻⁵, Cramér's V = 0.260) and on status × AI capability χ² = 29.80 (df = 10, </w:t>
      </w:r>
      <w:r>
        <w:rPr>
          <w:i/>
        </w:rPr>
        <w:t>p</w:t>
      </w:r>
      <w:r>
        <w:t xml:space="preserve"> &lt; 10⁻³, Cramér's V = 0.240). Using Cohen's (1988) df-adjusted thresholds for Cramér's V, both V values sit in the medium-to-large range; the cross-lens V difference of 0.020 is directional-only and is not the load-bearing inference, and indeed sits within the attenuation introduced by an instrument with κ = 0.289 (the V values are not corrected for instrument unreliability and disattenuation would shift both upward by similar amounts). A more pointed measurement-invariance reading is that the cross-lens gap of 0.020 is interpretable only if the rubric's anchors fire on the same latent construct across the 8 case families and the 3 AI-capability categories — a configural-invariance condition the v1.0 rubric has not tested. Until that condition is established, the cross-lens contrast is descriptive of the rubric, not of the field.</w:t>
      </w:r>
    </w:p>
    <w:p>
      <w:r>
        <w:t xml:space="preserve">The script released with the database reports two Monte-Carlo permutation tests on the cross-lens contrast under explicitly different unit-of-randomization assumptions, and we report them with equal prominence rather than as a primary-versus-supplementary pair. The </w:t>
      </w:r>
      <w:r>
        <w:rPr>
          <w:b/>
        </w:rPr>
        <w:t>cell-level</w:t>
      </w:r>
      <w:r>
        <w:t xml:space="preserve"> Monte-Carlo test (10,000 permutations, seeds 20260423 and 20260424) treats the 612 role-coding cells as the units of randomization and yields </w:t>
      </w:r>
      <w:r>
        <w:rPr>
          <w:i/>
        </w:rPr>
        <w:t>p</w:t>
      </w:r>
      <w:r>
        <w:t xml:space="preserve"> = 0.0002 for case family and </w:t>
      </w:r>
      <w:r>
        <w:rPr>
          <w:i/>
        </w:rPr>
        <w:t>p</w:t>
      </w:r>
      <w:r>
        <w:t xml:space="preserve"> = 0.0012 for AI capability — but this null ignores within-case clustering (17 role-rows per case are not independent observations of role status). The </w:t>
      </w:r>
      <w:r>
        <w:rPr>
          <w:b/>
        </w:rPr>
        <w:t>case-level</w:t>
      </w:r>
      <w:r>
        <w:t xml:space="preserve"> Monte-Carlo test re-randomizes the 36 case-family labels under the clustering-aware null and yields </w:t>
      </w:r>
      <w:r>
        <w:rPr>
          <w:i/>
        </w:rPr>
        <w:t>p</w:t>
      </w:r>
      <w:r>
        <w:t xml:space="preserve"> = 0.58 for case family and </w:t>
      </w:r>
      <w:r>
        <w:rPr>
          <w:i/>
        </w:rPr>
        <w:t>p</w:t>
      </w:r>
      <w:r>
        <w:t xml:space="preserve"> = 0.33 for AI capability — i.e., once randomization respects the case as the unit, the H3 family-vs-capability cross-lens contrast is </w:t>
      </w:r>
      <w:r>
        <w:rPr>
          <w:i/>
        </w:rPr>
        <w:t>not significant</w:t>
      </w:r>
      <w:r>
        <w:t xml:space="preserve">. The cell-level test is descriptive of cell-level association; the case-level test is the inferentially-disciplined test for a 36-case sample. We additionally report a </w:t>
      </w:r>
      <w:r>
        <w:rPr>
          <w:b/>
        </w:rPr>
        <w:t>case-cluster bootstrap</w:t>
      </w:r>
      <w:r>
        <w:t xml:space="preserve"> (B = 2,000, seed 20260425, resampling cases with replacement), which yields V_family 95 % CI [0.261, 0.430], V_capability 95 % CI [0.193, 0.451], and V_gap 95 % CI [−0.096, 0.156] with P(gap &gt; 0) = 0.69; the cluster-bootstrap CI on V_gap straddles zero and is consistent with the case-level Monte-Carlo result.</w:t>
      </w:r>
    </w:p>
    <w:p>
      <w:r>
        <w:t xml:space="preserve">The pre-specified confirmatory family for H1–H3 contains six tests, against which a Holm step-down correction is applied at α = 0.05 (computed in </w:t>
      </w:r>
      <w:r>
        <w:rPr>
          <w:rFonts w:ascii="Consolas" w:hAnsi="Consolas"/>
          <w:sz w:val="21"/>
        </w:rPr>
        <w:t>scripts/section6_analysis.py</w:t>
      </w:r>
      <w:r>
        <w:t xml:space="preserve">): (1) cell-level Monte-Carlo on case family (raw </w:t>
      </w:r>
      <w:r>
        <w:rPr>
          <w:i/>
        </w:rPr>
        <w:t>p</w:t>
      </w:r>
      <w:r>
        <w:t xml:space="preserve"> = 0.0002, Holm-adjusted </w:t>
      </w:r>
      <w:r>
        <w:rPr>
          <w:i/>
        </w:rPr>
        <w:t>p</w:t>
      </w:r>
      <w:r>
        <w:t xml:space="preserve"> = 0.0012); (2) per-role Wilcoxon signed-rank (raw </w:t>
      </w:r>
      <w:r>
        <w:rPr>
          <w:i/>
        </w:rPr>
        <w:t>p</w:t>
      </w:r>
      <w:r>
        <w:t xml:space="preserve"> = 0.0006, Holm-adjusted </w:t>
      </w:r>
      <w:r>
        <w:rPr>
          <w:i/>
        </w:rPr>
        <w:t>p</w:t>
      </w:r>
      <w:r>
        <w:t xml:space="preserve"> = 0.003); (3) cell-level Monte-Carlo on AI capability (raw </w:t>
      </w:r>
      <w:r>
        <w:rPr>
          <w:i/>
        </w:rPr>
        <w:t>p</w:t>
      </w:r>
      <w:r>
        <w:t xml:space="preserve"> = 0.0012, Holm-adjusted </w:t>
      </w:r>
      <w:r>
        <w:rPr>
          <w:i/>
        </w:rPr>
        <w:t>p</w:t>
      </w:r>
      <w:r>
        <w:t xml:space="preserve"> = 0.005); (4) per-role paired sign test (raw </w:t>
      </w:r>
      <w:r>
        <w:rPr>
          <w:i/>
        </w:rPr>
        <w:t>p</w:t>
      </w:r>
      <w:r>
        <w:t xml:space="preserve"> = 0.004, Holm-adjusted </w:t>
      </w:r>
      <w:r>
        <w:rPr>
          <w:i/>
        </w:rPr>
        <w:t>p</w:t>
      </w:r>
      <w:r>
        <w:t xml:space="preserve"> = 0.013); (5) case-level Monte-Carlo on case family (raw </w:t>
      </w:r>
      <w:r>
        <w:rPr>
          <w:i/>
        </w:rPr>
        <w:t>p</w:t>
      </w:r>
      <w:r>
        <w:t xml:space="preserve"> = 0.58, Holm-adjusted </w:t>
      </w:r>
      <w:r>
        <w:rPr>
          <w:i/>
        </w:rPr>
        <w:t>p</w:t>
      </w:r>
      <w:r>
        <w:t xml:space="preserve"> = 0.58); and (6) case-level Monte-Carlo on AI capability (raw </w:t>
      </w:r>
      <w:r>
        <w:rPr>
          <w:i/>
        </w:rPr>
        <w:t>p</w:t>
      </w:r>
      <w:r>
        <w:t xml:space="preserve"> = 0.33, Holm-adjusted </w:t>
      </w:r>
      <w:r>
        <w:rPr>
          <w:i/>
        </w:rPr>
        <w:t>p</w:t>
      </w:r>
      <w:r>
        <w:t xml:space="preserve"> = 0.66). Tests (1)–(4) survive Holm correction; tests (5) and (6) do not.</w:t>
      </w:r>
    </w:p>
    <w:p>
      <w:r>
        <w:t xml:space="preserve">H3 is therefore </w:t>
      </w:r>
      <w:r>
        <w:rPr>
          <w:b/>
        </w:rPr>
        <w:t>supported as a cell-level repository pattern but not significant under the clustering-aware case-level null at N = 36 cases</w:t>
      </w:r>
      <w:r>
        <w:t xml:space="preserve">. The two lenses return the same direction at the cell level — case family is the stronger associate of role status (V = 0.260 vs. 0.240; V_family &gt; V_capability in 14 of 16 per-role tests) — but the case-level test does not have the power to detect a corresponding case-family effect at this sample size, and the manuscript should not over-claim. The pattern is consistent with Abbott's (1988) prediction that jurisdictional stability follows task structure rather than tool novelty, but the 36-case repository cannot license that theoretical claim at the population level; we do not generalize beyond the sample, and a 2027 extension that increases the case-level </w:t>
      </w:r>
      <w:r>
        <w:rPr>
          <w:i/>
        </w:rPr>
        <w:t>N</w:t>
      </w:r>
      <w:r>
        <w:t xml:space="preserve"> is the appropriate test of the case-level null.</w:t>
      </w:r>
    </w:p>
    <w:p>
      <w:r>
        <w:t>Removing the five autonomy-heavy system cases (25 and 26 Project APE, 32 AI Scientist, 33 Deep Research, 34 AgentSociety) barely moves the headline pattern.</w:t>
      </w:r>
    </w:p>
    <w:p>
      <w:r>
        <w:rPr>
          <w:b/>
        </w:rPr>
        <w:t>Table 4. Sensitivity to exclusion of autonomy-heavy system cases.</w:t>
      </w:r>
      <w:r>
        <w:t xml:space="preserve"> Rows shown are the six roles named in H1 (three durable — protocol and provenance architect, calibration architect, accountability and labor allocator) and H2 (three shrinking task-clusters); the full 17-role Δ table is released with the database as Appendix D. Columns in each block: </w:t>
      </w:r>
      <w:r>
        <w:rPr>
          <w:i/>
        </w:rPr>
        <w:t>all</w:t>
      </w:r>
      <w:r>
        <w:t xml:space="preserve"> = full 36 cases; </w:t>
      </w:r>
      <w:r>
        <w:rPr>
          <w:i/>
        </w:rPr>
        <w:t>excl</w:t>
      </w:r>
      <w:r>
        <w:t xml:space="preserve"> = 31 cases; </w:t>
      </w:r>
      <w:r>
        <w:rPr>
          <w:i/>
        </w:rPr>
        <w:t>Δ</w:t>
      </w:r>
      <w:r>
        <w:t xml:space="preserve"> = </w:t>
      </w:r>
      <w:r>
        <w:rPr>
          <w:rFonts w:ascii="Consolas" w:hAnsi="Consolas"/>
          <w:sz w:val="21"/>
        </w:rPr>
        <w:t>excl</w:t>
      </w:r>
      <w:r>
        <w:t xml:space="preserve"> − </w:t>
      </w:r>
      <w:r>
        <w:rPr>
          <w:rFonts w:ascii="Consolas" w:hAnsi="Consolas"/>
          <w:sz w:val="21"/>
        </w:rPr>
        <w:t>all</w:t>
      </w:r>
      <w:r>
        <w:t>.</w:t>
      </w:r>
    </w:p>
    <w:tbl>
      <w:tblPr>
        <w:tblStyle w:val="LightGrid-Accent1"/>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Role</w:t>
            </w:r>
          </w:p>
        </w:tc>
        <w:tc>
          <w:tcPr>
            <w:tcW w:type="dxa" w:w="1440"/>
          </w:tcPr>
          <w:p>
            <w:r>
              <w:rPr>
                <w:b/>
              </w:rPr>
            </w:r>
            <w:r>
              <w:rPr>
                <w:b/>
              </w:rPr>
              <w:t>Robust (all / excl / Δ)</w:t>
            </w:r>
          </w:p>
        </w:tc>
        <w:tc>
          <w:tcPr>
            <w:tcW w:type="dxa" w:w="1440"/>
          </w:tcPr>
          <w:p>
            <w:r>
              <w:rPr>
                <w:b/>
              </w:rPr>
            </w:r>
            <w:r>
              <w:rPr>
                <w:b/>
              </w:rPr>
              <w:t>Conditional</w:t>
            </w:r>
          </w:p>
        </w:tc>
        <w:tc>
          <w:tcPr>
            <w:tcW w:type="dxa" w:w="1440"/>
          </w:tcPr>
          <w:p>
            <w:r>
              <w:rPr>
                <w:b/>
              </w:rPr>
            </w:r>
            <w:r>
              <w:rPr>
                <w:b/>
              </w:rPr>
              <w:t>Transformed</w:t>
            </w:r>
          </w:p>
        </w:tc>
        <w:tc>
          <w:tcPr>
            <w:tcW w:type="dxa" w:w="1440"/>
          </w:tcPr>
          <w:p>
            <w:r>
              <w:rPr>
                <w:b/>
              </w:rPr>
            </w:r>
            <w:r>
              <w:rPr>
                <w:b/>
              </w:rPr>
              <w:t>Shrinking</w:t>
            </w:r>
          </w:p>
        </w:tc>
        <w:tc>
          <w:tcPr>
            <w:tcW w:type="dxa" w:w="1440"/>
          </w:tcPr>
          <w:p>
            <w:r>
              <w:rPr>
                <w:b/>
              </w:rPr>
            </w:r>
            <w:r>
              <w:rPr>
                <w:b/>
              </w:rPr>
              <w:t>Split pressure</w:t>
            </w:r>
          </w:p>
        </w:tc>
      </w:tr>
      <w:tr>
        <w:tc>
          <w:tcPr>
            <w:tcW w:type="dxa" w:w="1440"/>
          </w:tcPr>
          <w:p>
            <w:r/>
            <w:r>
              <w:t>Protocol and provenance architect</w:t>
            </w:r>
          </w:p>
        </w:tc>
        <w:tc>
          <w:tcPr>
            <w:tcW w:type="dxa" w:w="1440"/>
          </w:tcPr>
          <w:p>
            <w:r/>
            <w:r>
              <w:t>15 / 12 / −3</w:t>
            </w:r>
          </w:p>
        </w:tc>
        <w:tc>
          <w:tcPr>
            <w:tcW w:type="dxa" w:w="1440"/>
          </w:tcPr>
          <w:p>
            <w:r/>
            <w:r>
              <w:t>5 / 5 / 0</w:t>
            </w:r>
          </w:p>
        </w:tc>
        <w:tc>
          <w:tcPr>
            <w:tcW w:type="dxa" w:w="1440"/>
          </w:tcPr>
          <w:p>
            <w:r/>
            <w:r>
              <w:t>7 / 6 / −1</w:t>
            </w:r>
          </w:p>
        </w:tc>
        <w:tc>
          <w:tcPr>
            <w:tcW w:type="dxa" w:w="1440"/>
          </w:tcPr>
          <w:p>
            <w:r/>
            <w:r>
              <w:t>0 / 0 / 0</w:t>
            </w:r>
          </w:p>
        </w:tc>
        <w:tc>
          <w:tcPr>
            <w:tcW w:type="dxa" w:w="1440"/>
          </w:tcPr>
          <w:p>
            <w:r/>
            <w:r>
              <w:t>4 / 4 / 0</w:t>
            </w:r>
          </w:p>
        </w:tc>
      </w:tr>
      <w:tr>
        <w:tc>
          <w:tcPr>
            <w:tcW w:type="dxa" w:w="1440"/>
          </w:tcPr>
          <w:p>
            <w:r/>
            <w:r>
              <w:t>Calibration architect</w:t>
            </w:r>
          </w:p>
        </w:tc>
        <w:tc>
          <w:tcPr>
            <w:tcW w:type="dxa" w:w="1440"/>
          </w:tcPr>
          <w:p>
            <w:r/>
            <w:r>
              <w:t>8 / 6 / −2</w:t>
            </w:r>
          </w:p>
        </w:tc>
        <w:tc>
          <w:tcPr>
            <w:tcW w:type="dxa" w:w="1440"/>
          </w:tcPr>
          <w:p>
            <w:r/>
            <w:r>
              <w:t>10 / 9 / −1</w:t>
            </w:r>
          </w:p>
        </w:tc>
        <w:tc>
          <w:tcPr>
            <w:tcW w:type="dxa" w:w="1440"/>
          </w:tcPr>
          <w:p>
            <w:r/>
            <w:r>
              <w:t>1 / 1 / 0</w:t>
            </w:r>
          </w:p>
        </w:tc>
        <w:tc>
          <w:tcPr>
            <w:tcW w:type="dxa" w:w="1440"/>
          </w:tcPr>
          <w:p>
            <w:r/>
            <w:r>
              <w:t>0 / 0 / 0</w:t>
            </w:r>
          </w:p>
        </w:tc>
        <w:tc>
          <w:tcPr>
            <w:tcW w:type="dxa" w:w="1440"/>
          </w:tcPr>
          <w:p>
            <w:r/>
            <w:r>
              <w:t>2 / 2 / 0</w:t>
            </w:r>
          </w:p>
        </w:tc>
      </w:tr>
      <w:tr>
        <w:tc>
          <w:tcPr>
            <w:tcW w:type="dxa" w:w="1440"/>
          </w:tcPr>
          <w:p>
            <w:r/>
            <w:r>
              <w:t>Accountability and labor allocator</w:t>
            </w:r>
          </w:p>
        </w:tc>
        <w:tc>
          <w:tcPr>
            <w:tcW w:type="dxa" w:w="1440"/>
          </w:tcPr>
          <w:p>
            <w:r/>
            <w:r>
              <w:t>5 / 4 / −1</w:t>
            </w:r>
          </w:p>
        </w:tc>
        <w:tc>
          <w:tcPr>
            <w:tcW w:type="dxa" w:w="1440"/>
          </w:tcPr>
          <w:p>
            <w:r/>
            <w:r>
              <w:t>8 / 7 / −1</w:t>
            </w:r>
          </w:p>
        </w:tc>
        <w:tc>
          <w:tcPr>
            <w:tcW w:type="dxa" w:w="1440"/>
          </w:tcPr>
          <w:p>
            <w:r/>
            <w:r>
              <w:t>7 / 6 / −1</w:t>
            </w:r>
          </w:p>
        </w:tc>
        <w:tc>
          <w:tcPr>
            <w:tcW w:type="dxa" w:w="1440"/>
          </w:tcPr>
          <w:p>
            <w:r/>
            <w:r>
              <w:t>0 / 0 / 0</w:t>
            </w:r>
          </w:p>
        </w:tc>
        <w:tc>
          <w:tcPr>
            <w:tcW w:type="dxa" w:w="1440"/>
          </w:tcPr>
          <w:p>
            <w:r/>
            <w:r>
              <w:t>6 / 5 / −1</w:t>
            </w:r>
          </w:p>
        </w:tc>
      </w:tr>
      <w:tr>
        <w:tc>
          <w:tcPr>
            <w:tcW w:type="dxa" w:w="1440"/>
          </w:tcPr>
          <w:p>
            <w:r/>
            <w:r>
              <w:t>Routine first-pass screener</w:t>
            </w:r>
          </w:p>
        </w:tc>
        <w:tc>
          <w:tcPr>
            <w:tcW w:type="dxa" w:w="1440"/>
          </w:tcPr>
          <w:p>
            <w:r/>
            <w:r>
              <w:t>0 / 0 / 0</w:t>
            </w:r>
          </w:p>
        </w:tc>
        <w:tc>
          <w:tcPr>
            <w:tcW w:type="dxa" w:w="1440"/>
          </w:tcPr>
          <w:p>
            <w:r/>
            <w:r>
              <w:t>0 / 0 / 0</w:t>
            </w:r>
          </w:p>
        </w:tc>
        <w:tc>
          <w:tcPr>
            <w:tcW w:type="dxa" w:w="1440"/>
          </w:tcPr>
          <w:p>
            <w:r/>
            <w:r>
              <w:t>0 / 0 / 0</w:t>
            </w:r>
          </w:p>
        </w:tc>
        <w:tc>
          <w:tcPr>
            <w:tcW w:type="dxa" w:w="1440"/>
          </w:tcPr>
          <w:p>
            <w:r/>
            <w:r>
              <w:t>13 / 9 / −4</w:t>
            </w:r>
          </w:p>
        </w:tc>
        <w:tc>
          <w:tcPr>
            <w:tcW w:type="dxa" w:w="1440"/>
          </w:tcPr>
          <w:p>
            <w:r/>
            <w:r>
              <w:t>0 / 0 / 0</w:t>
            </w:r>
          </w:p>
        </w:tc>
      </w:tr>
      <w:tr>
        <w:tc>
          <w:tcPr>
            <w:tcW w:type="dxa" w:w="1440"/>
          </w:tcPr>
          <w:p>
            <w:r/>
            <w:r>
              <w:t>Routine coder on high-consensus, ground-truth-rich tasks</w:t>
            </w:r>
          </w:p>
        </w:tc>
        <w:tc>
          <w:tcPr>
            <w:tcW w:type="dxa" w:w="1440"/>
          </w:tcPr>
          <w:p>
            <w:r/>
            <w:r>
              <w:t>0 / 0 / 0</w:t>
            </w:r>
          </w:p>
        </w:tc>
        <w:tc>
          <w:tcPr>
            <w:tcW w:type="dxa" w:w="1440"/>
          </w:tcPr>
          <w:p>
            <w:r/>
            <w:r>
              <w:t>1 / 1 / 0</w:t>
            </w:r>
          </w:p>
        </w:tc>
        <w:tc>
          <w:tcPr>
            <w:tcW w:type="dxa" w:w="1440"/>
          </w:tcPr>
          <w:p>
            <w:r/>
            <w:r>
              <w:t>0 / 0 / 0</w:t>
            </w:r>
          </w:p>
        </w:tc>
        <w:tc>
          <w:tcPr>
            <w:tcW w:type="dxa" w:w="1440"/>
          </w:tcPr>
          <w:p>
            <w:r/>
            <w:r>
              <w:t>15 / 12 / −3</w:t>
            </w:r>
          </w:p>
        </w:tc>
        <w:tc>
          <w:tcPr>
            <w:tcW w:type="dxa" w:w="1440"/>
          </w:tcPr>
          <w:p>
            <w:r/>
            <w:r>
              <w:t>1 / 1 / 0</w:t>
            </w:r>
          </w:p>
        </w:tc>
      </w:tr>
      <w:tr>
        <w:tc>
          <w:tcPr>
            <w:tcW w:type="dxa" w:w="1440"/>
          </w:tcPr>
          <w:p>
            <w:r/>
            <w:r>
              <w:t>Structural prose polisher / drafter</w:t>
            </w:r>
          </w:p>
        </w:tc>
        <w:tc>
          <w:tcPr>
            <w:tcW w:type="dxa" w:w="1440"/>
          </w:tcPr>
          <w:p>
            <w:r/>
            <w:r>
              <w:t>0 / 0 / 0</w:t>
            </w:r>
          </w:p>
        </w:tc>
        <w:tc>
          <w:tcPr>
            <w:tcW w:type="dxa" w:w="1440"/>
          </w:tcPr>
          <w:p>
            <w:r/>
            <w:r>
              <w:t>2 / 2 / 0</w:t>
            </w:r>
          </w:p>
        </w:tc>
        <w:tc>
          <w:tcPr>
            <w:tcW w:type="dxa" w:w="1440"/>
          </w:tcPr>
          <w:p>
            <w:r/>
            <w:r>
              <w:t>1 / 1 / 0</w:t>
            </w:r>
          </w:p>
        </w:tc>
        <w:tc>
          <w:tcPr>
            <w:tcW w:type="dxa" w:w="1440"/>
          </w:tcPr>
          <w:p>
            <w:r/>
            <w:r>
              <w:t>12 / 8 / −4</w:t>
            </w:r>
          </w:p>
        </w:tc>
        <w:tc>
          <w:tcPr>
            <w:tcW w:type="dxa" w:w="1440"/>
          </w:tcPr>
          <w:p>
            <w:r/>
            <w:r>
              <w:t>0 / 0 / 0</w:t>
            </w:r>
          </w:p>
        </w:tc>
      </w:tr>
    </w:tbl>
    <w:p/>
    <w:p>
      <w:r>
        <w:t xml:space="preserve">The five excluded cases contribute 11 of the 40 shrinking-task-cluster observations and 6 of the procedural-or-calibration </w:t>
      </w:r>
      <w:r>
        <w:rPr>
          <w:rFonts w:ascii="Consolas" w:hAnsi="Consolas"/>
          <w:sz w:val="21"/>
        </w:rPr>
        <w:t>robust</w:t>
      </w:r>
      <w:r>
        <w:t>/</w:t>
      </w:r>
      <w:r>
        <w:rPr>
          <w:rFonts w:ascii="Consolas" w:hAnsi="Consolas"/>
          <w:sz w:val="21"/>
        </w:rPr>
        <w:t>transformed</w:t>
      </w:r>
      <w:r>
        <w:t xml:space="preserve"> counts; dropping them compresses the magnitudes but not the direction. Protocol and provenance architect is still the most durable role by a wide margin (12 robust + 5 conditional + 6 transformed versus any other row). Calibration architect remains predominantly robust-or-conditional (6 robust + 9 conditional). The three shrinking-task clusters are still overwhelmingly shrinking (9, 12, and 8 observations respectively, with no case flipping to robust or transformed). H1 and H2 therefore survive the exclusion; the abstract's aggregate of 40 shrinking observations should be read as the full-repository figure, with 29 shrinking observations remaining under this exclusion.</w:t>
      </w:r>
    </w:p>
    <w:p>
      <w:r>
        <w:t xml:space="preserve">These limitations do not collapse the argument, but they do constrain it. The paper can say that H1 is broadly supported because boundary-setting and procedure-setting roles survive more often than routine production clusters. It can say that H2 is conditionally supported because the clearest shrinkage clusters where auditability and public ground truth are strongest. It can also say that H3 is supported as a </w:t>
      </w:r>
      <w:r>
        <w:rPr>
          <w:i/>
        </w:rPr>
        <w:t>cell-level</w:t>
      </w:r>
      <w:r>
        <w:t xml:space="preserve"> repository pattern but is </w:t>
      </w:r>
      <w:r>
        <w:rPr>
          <w:i/>
        </w:rPr>
        <w:t>not</w:t>
      </w:r>
      <w:r>
        <w:t xml:space="preserve"> significant under the clustering-aware case-level null at N = 36: case family is the stronger associate of role status at the cell level (aggregate V = 0.260 versus 0.240 for capability; V_family &gt; V_capability in 14 of 16 per-role tests; cell-level Monte-Carlo </w:t>
      </w:r>
      <w:r>
        <w:rPr>
          <w:i/>
        </w:rPr>
        <w:t>p</w:t>
      </w:r>
      <w:r>
        <w:t xml:space="preserve"> = 0.0002 survives Holm correction) while the case-level Monte-Carlo </w:t>
      </w:r>
      <w:r>
        <w:rPr>
          <w:i/>
        </w:rPr>
        <w:t>p</w:t>
      </w:r>
      <w:r>
        <w:t xml:space="preserve"> = 0.58 does not, so the H3 conclusion is bounded to the cell-level association and the case-level test awaits a larger-</w:t>
      </w:r>
      <w:r>
        <w:rPr>
          <w:i/>
        </w:rPr>
        <w:t>N</w:t>
      </w:r>
      <w:r>
        <w:t xml:space="preserve"> extension. What it should not say is that the repository proves a universal law of role disappearance.</w:t>
      </w:r>
    </w:p>
    <w:p>
      <w:r>
        <w:t>Framed this way, the paper's contribution stays appropriately bounded for a methods journal. It does not claim to replace the broader literatures on professions, human-AI collaboration, or computational social science. Instead, it provides a comparative empirical bridge among them: a way to describe changing research work in terms of role durability, transformation, shrinkage, and split pressure rather than in terms of undifferentiated human-versus-AI competition.</w:t>
      </w:r>
    </w:p>
    <w:p>
      <w:pPr>
        <w:pStyle w:val="Heading1"/>
      </w:pPr>
      <w:r>
        <w:t>7. Conclusion</w:t>
      </w:r>
    </w:p>
    <w:p>
      <w:r>
        <w:t xml:space="preserve">The central result of the repository is conceptual as much as empirical. Once the cases are aligned as a role-system dataset, the most interesting question is no longer whether AI can “do research.” The better question is which roles remain constitutive of </w:t>
      </w:r>
      <w:r>
        <w:rPr>
          <w:i/>
        </w:rPr>
        <w:t>epistemic validity</w:t>
      </w:r>
      <w:r>
        <w:t xml:space="preserve"> — the warrantability of a study's inferential claims to its intended audience — under new forms of generative, predictive, and agentic support. The answer is uneven but coherent. Roles tied to meaning, admissible procedure, calibration, provenance, and accountability are more durable than routine throughput clusters. Some tasks do shrink, especially where evaluation is clean. Some roles transform, especially around authorship, disclosure, and labor allocation. And some inherited categories are no longer precise enough, because the repository creates pressure to split them.</w:t>
      </w:r>
    </w:p>
    <w:p>
      <w:r>
        <w:t xml:space="preserve">The six statuses are not a flat list; they cluster onto two aggregate dimensions that </w:t>
      </w:r>
      <w:r>
        <w:rPr>
          <w:i/>
        </w:rPr>
        <w:t>emerged</w:t>
      </w:r>
      <w:r>
        <w:t xml:space="preserve"> from the comparative audit rather than being imposed from prior theory (Gioia, Corley, &amp; Hamilton, 2013, on aggregate-dimension naming as the highest-order theoretical claim an inductive audit licenses). An </w:t>
      </w:r>
      <w:r>
        <w:rPr>
          <w:i/>
        </w:rPr>
        <w:t>allocation</w:t>
      </w:r>
      <w:r>
        <w:t xml:space="preserve"> axis — robust → conditional → transformed → shrinking — tracks how human performance yields first scope, then content, then volume as AI is embedded. A </w:t>
      </w:r>
      <w:r>
        <w:rPr>
          <w:i/>
        </w:rPr>
        <w:t>specification</w:t>
      </w:r>
      <w:r>
        <w:t xml:space="preserve"> axis — split and merge pressure — revises the unit of analysis itself rather than the allocation. The two-dimensional structure is the highest-order theoretical claim the audit licenses, and the typology is six rather than four because reconfiguration and reallocation are independent forms of jurisdictional revision (Abbott, 1988; Freidson, 2001).</w:t>
      </w:r>
    </w:p>
    <w:p>
      <w:r>
        <w:t xml:space="preserve">The two-axis framing also generates forward-looking predictions the repository does not yet test. We frame these predictions in the </w:t>
      </w:r>
      <w:r>
        <w:rPr>
          <w:i/>
        </w:rPr>
        <w:t>inductive-extension</w:t>
      </w:r>
      <w:r>
        <w:t xml:space="preserve"> mode (Welch, Piekkari, Plakoyiannaki, &amp; Paavilainen-Mäntymäki, 2011 on theorizing forms in case research; Cornelissen, Höllerer, &amp; Seidl, 2021 on the importance of declaring theorizing form): they extrapolate from observed configurational signals to as-yet-unobserved (case × year) cells rather than deductively prove anything from a closed theory. They are corrigible by future cases, and the falsifying observations are pre-specified. First, merge pressure between </w:t>
      </w:r>
      <w:r>
        <w:rPr>
          <w:i/>
        </w:rPr>
        <w:t>protocol and provenance architect</w:t>
      </w:r>
      <w:r>
        <w:t xml:space="preserve"> and </w:t>
      </w:r>
      <w:r>
        <w:rPr>
          <w:i/>
        </w:rPr>
        <w:t>accountability and labor allocator</w:t>
      </w:r>
      <w:r>
        <w:t xml:space="preserve"> should intensify as agentic pipelines assume multi-step autonomy, because the provenance trail that licenses inferential claims becomes the same object as the sign-off authority that allocates accountability for those claims; this prediction is silent on whether the merge appears at the level of an individual researcher's two-role attachment or at the level of a research-team reorganization of who signs off on what (Woolley et al., 2010 on team-level division of labor versus individual role attachment), and both observation modes count as confirmatory. This prediction rests on a single leading-indicator case (Hajishirzi, 2026) and we treat it as the most speculative of the three. Second, split pressure on </w:t>
      </w:r>
      <w:r>
        <w:rPr>
          <w:i/>
        </w:rPr>
        <w:t>context witness</w:t>
      </w:r>
      <w:r>
        <w:t xml:space="preserve"> should migrate toward </w:t>
      </w:r>
      <w:r>
        <w:rPr>
          <w:i/>
        </w:rPr>
        <w:t>calibration architect</w:t>
      </w:r>
      <w:r>
        <w:t xml:space="preserve"> as synthetic-respondent fidelity rises, because the activity that distinguishes real from simulated context will become separable from the activity that calibrates a simulated distribution against defensible benchmarks. Third, </w:t>
      </w:r>
      <w:r>
        <w:rPr>
          <w:i/>
        </w:rPr>
        <w:t>transformed</w:t>
      </w:r>
      <w:r>
        <w:t xml:space="preserve"> should become the modal status for </w:t>
      </w:r>
      <w:r>
        <w:rPr>
          <w:i/>
        </w:rPr>
        <w:t>accountability and labor allocator</w:t>
      </w:r>
      <w:r>
        <w:t xml:space="preserve"> — already 7 of 36 in the current repository — as disclosure standards mature; here too, the prediction is silent on whether the transformation occurs through change in an individual researcher's role content or through reallocation of who in the team performs which sub-task. These predictions are empirically testable against a 2027 extension of the repository and are offered as falsifiable extensions of the framework, not as established findings. The 2027 hold-out sampling frame is pre-specified as: published or preprinted between 2026-07-01 and 2027-12-31, AI-in-research as primary empirical object, full-text retrievable, with stratification by the eight case-family clusters used in Table 3a to mitigate visibility bias; target </w:t>
      </w:r>
      <w:r>
        <w:rPr>
          <w:i/>
        </w:rPr>
        <w:t>N</w:t>
      </w:r>
      <w:r>
        <w:t xml:space="preserve"> = 60 cases (24 new + 36 retained as anchors), powered at 0.80 to detect a 0.10 absolute shift in transformed-status prevalence for accountability and labor allocator under a one-sample binomial test against the 2024–2026 baseline of 7/36 = 0.194. Falsification thresholds per prediction: (i) merge pressure between </w:t>
      </w:r>
      <w:r>
        <w:rPr>
          <w:i/>
        </w:rPr>
        <w:t>protocol and provenance architect</w:t>
      </w:r>
      <w:r>
        <w:t xml:space="preserve"> and </w:t>
      </w:r>
      <w:r>
        <w:rPr>
          <w:i/>
        </w:rPr>
        <w:t>accountability and labor allocator</w:t>
      </w:r>
      <w:r>
        <w:t xml:space="preserve"> is falsified if the 2027 hold-out shows ≤ 2 such codings (matching the 2024–2026 base rate within sampling error); (ii) split-pressure migration toward </w:t>
      </w:r>
      <w:r>
        <w:rPr>
          <w:i/>
        </w:rPr>
        <w:t>calibration architect</w:t>
      </w:r>
      <w:r>
        <w:t xml:space="preserve"> is falsified if the calibration-architect split-pressure count fails to exceed the context-witness split-pressure count by ≥ 3 codings; (iii) </w:t>
      </w:r>
      <w:r>
        <w:rPr>
          <w:i/>
        </w:rPr>
        <w:t>transformed</w:t>
      </w:r>
      <w:r>
        <w:t xml:space="preserve"> becoming modal for </w:t>
      </w:r>
      <w:r>
        <w:rPr>
          <w:i/>
        </w:rPr>
        <w:t>accountability and labor allocator</w:t>
      </w:r>
      <w:r>
        <w:t xml:space="preserve"> is falsified if its transformed-prevalence fails to exceed both its conditional and robust prevalences in the hold-out. The pre-committed analysis script for the 2027 pass — with seeds, Holm-corrected confirmatory-test family across the three predictions, and case-cluster bootstrap on V_family stability — is to be deposited as </w:t>
      </w:r>
      <w:r>
        <w:rPr>
          <w:rFonts w:ascii="Consolas" w:hAnsi="Consolas"/>
          <w:sz w:val="21"/>
        </w:rPr>
        <w:t>scripts/section7_2027_holdout.py</w:t>
      </w:r>
      <w:r>
        <w:t xml:space="preserve"> at the v1.0.0-ORM-submission release tag, in the common-task-method discipline (Salganik, 2018; Salganik et al., 2020) extended from hypothesis testing to forward-prediction extension. Each prediction is conditional on the 2027 capability distribution being a smooth continuation of the 2024–2026 window the rubric was built on; if frontier capability shifts produce a structurally different distribution (e.g., reliable multi-day autonomy at scale, or a measurement-bias regime not captured by the current generative/agentic/predictive triad), the predictions are not falsified so much as rendered out-of-distribution (Bail, 2024 on the moving-target risk for AI-in-social-science frameworks).</w:t>
      </w:r>
    </w:p>
    <w:p>
      <w:r>
        <w:t>The framework serves three audiences with distinct uses, and the uses are keyed to research stage. Table 5 organizes the stakeholder × stage recommendations as a grid, with each cell anchored to at least one case from the 36 that motivates it; Table 6 reports what authors of new AI-embedded studies should do for each status, alongside a compliance rate at the top rubric anchor in the current repository. The moderator conditions a coder applies when assigning a status are specified in Table 1 and operationalized as a numbered decision tree in Appendix E; that decision tree is the rubric's applied-use artifact.</w:t>
      </w:r>
    </w:p>
    <w:p>
      <w:r>
        <w:rPr>
          <w:b/>
        </w:rPr>
        <w:t>Table 5. Stakeholder × research-stage recommendations.</w:t>
      </w:r>
      <w:r>
        <w:t xml:space="preserve"> The grid maps three audiences onto three research stages (planning, implementation, reporting), with one imperative recommendation per cell.</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rPr>
            </w:r>
            <w:r>
              <w:rPr>
                <w:b/>
              </w:rPr>
              <w:t>Stage</w:t>
            </w:r>
          </w:p>
        </w:tc>
        <w:tc>
          <w:tcPr>
            <w:tcW w:type="dxa" w:w="2160"/>
          </w:tcPr>
          <w:p>
            <w:r>
              <w:rPr>
                <w:b/>
              </w:rPr>
            </w:r>
            <w:r>
              <w:rPr>
                <w:b/>
              </w:rPr>
              <w:t>Methods researchers</w:t>
            </w:r>
          </w:p>
        </w:tc>
        <w:tc>
          <w:tcPr>
            <w:tcW w:type="dxa" w:w="2160"/>
          </w:tcPr>
          <w:p>
            <w:r>
              <w:rPr>
                <w:b/>
              </w:rPr>
            </w:r>
            <w:r>
              <w:rPr>
                <w:b/>
              </w:rPr>
              <w:t>Reviewers and editors</w:t>
            </w:r>
          </w:p>
        </w:tc>
        <w:tc>
          <w:tcPr>
            <w:tcW w:type="dxa" w:w="2160"/>
          </w:tcPr>
          <w:p>
            <w:r>
              <w:rPr>
                <w:b/>
              </w:rPr>
            </w:r>
            <w:r>
              <w:rPr>
                <w:b/>
              </w:rPr>
              <w:t>Institutional actors</w:t>
            </w:r>
          </w:p>
        </w:tc>
      </w:tr>
      <w:tr>
        <w:tc>
          <w:tcPr>
            <w:tcW w:type="dxa" w:w="2160"/>
          </w:tcPr>
          <w:p>
            <w:r/>
            <w:r>
              <w:t>Planning</w:t>
            </w:r>
          </w:p>
        </w:tc>
        <w:tc>
          <w:tcPr>
            <w:tcW w:type="dxa" w:w="2160"/>
          </w:tcPr>
          <w:p>
            <w:r/>
            <w:r>
              <w:t xml:space="preserve">Identify which of the six statuses each role in the design is expected to occupy; pre-register moderator variables that would distinguish </w:t>
            </w:r>
            <w:r>
              <w:rPr>
                <w:i/>
              </w:rPr>
              <w:t>conditional</w:t>
            </w:r>
            <w:r>
              <w:t xml:space="preserve"> from </w:t>
            </w:r>
            <w:r>
              <w:rPr>
                <w:i/>
              </w:rPr>
              <w:t>transformed</w:t>
            </w:r>
            <w:r>
              <w:t xml:space="preserve"> (cf. Case 3 Gligorić split-pressure evidence).</w:t>
            </w:r>
          </w:p>
        </w:tc>
        <w:tc>
          <w:tcPr>
            <w:tcW w:type="dxa" w:w="2160"/>
          </w:tcPr>
          <w:p>
            <w:r/>
            <w:r>
              <w:t>Require a pre-coding rubric with behaviorally anchored status definitions; reject blanket automation claims not tied to a named role.</w:t>
            </w:r>
          </w:p>
        </w:tc>
        <w:tc>
          <w:tcPr>
            <w:tcW w:type="dxa" w:w="2160"/>
          </w:tcPr>
          <w:p>
            <w:r/>
            <w:r>
              <w:t>Fund role-level training modules in PhD methods curricula: procedure and provenance architecture, calibration, accountability (cf. Cases 2, 27 as robust-procedure exemplars).</w:t>
            </w:r>
          </w:p>
        </w:tc>
      </w:tr>
      <w:tr>
        <w:tc>
          <w:tcPr>
            <w:tcW w:type="dxa" w:w="2160"/>
          </w:tcPr>
          <w:p>
            <w:r/>
            <w:r>
              <w:t>Implementation</w:t>
            </w:r>
          </w:p>
        </w:tc>
        <w:tc>
          <w:tcPr>
            <w:tcW w:type="dxa" w:w="2160"/>
          </w:tcPr>
          <w:p>
            <w:r/>
            <w:r>
              <w:t>Code at the role × case level; record the quoted sentences that anchor the status assignment; keep a disagreement log when two coders diverge (cf. Case 10 Hajishirzi merge-pressure requiring joint-object coding).</w:t>
            </w:r>
          </w:p>
        </w:tc>
        <w:tc>
          <w:tcPr>
            <w:tcW w:type="dxa" w:w="2160"/>
          </w:tcPr>
          <w:p>
            <w:r/>
            <w:r>
              <w:t>On a submitted manuscript, locate whether each automation claim operates at the task-cluster layer (cf. Case 1 Tornberg objective-annotation shrinkage) or at the role layer (where disappearance requires stronger evidence).</w:t>
            </w:r>
          </w:p>
        </w:tc>
        <w:tc>
          <w:tcPr>
            <w:tcW w:type="dxa" w:w="2160"/>
          </w:tcPr>
          <w:p>
            <w:r/>
            <w:r>
              <w:t>Maintain replication archives that capture role-level codings, not only outcome statistics; require a rubric version tag on deposits.</w:t>
            </w:r>
          </w:p>
        </w:tc>
      </w:tr>
      <w:tr>
        <w:tc>
          <w:tcPr>
            <w:tcW w:type="dxa" w:w="2160"/>
          </w:tcPr>
          <w:p>
            <w:r/>
            <w:r>
              <w:t>Reporting</w:t>
            </w:r>
          </w:p>
        </w:tc>
        <w:tc>
          <w:tcPr>
            <w:tcW w:type="dxa" w:w="2160"/>
          </w:tcPr>
          <w:p>
            <w:r/>
            <w:r>
              <w:t>Release the role-coding CSV alongside the paper; report Cohen's κ on a subsample as a limitation alongside other limitations.</w:t>
            </w:r>
          </w:p>
        </w:tc>
        <w:tc>
          <w:tcPr>
            <w:tcW w:type="dxa" w:w="2160"/>
          </w:tcPr>
          <w:p>
            <w:r/>
            <w:r>
              <w:t>Check that claims sit inside the ceiling the reliability evidence supports; flag auditable-instrument claims made on single-coder evidence (cf. the reliability disclosure in this paper's §6).</w:t>
            </w:r>
          </w:p>
        </w:tc>
        <w:tc>
          <w:tcPr>
            <w:tcW w:type="dxa" w:w="2160"/>
          </w:tcPr>
          <w:p>
            <w:r/>
            <w:r>
              <w:t>Publish aggregate role-status distributions from deposited datasets as a public benchmark against which new cases can be compared.</w:t>
            </w:r>
          </w:p>
        </w:tc>
      </w:tr>
    </w:tbl>
    <w:p/>
    <w:p>
      <w:r>
        <w:rPr>
          <w:b/>
        </w:rPr>
        <w:t>Table 6. What authors of new AI-embedded studies should do, by status, with implied coordination mechanism and repository-level top-anchor compliance.</w:t>
      </w:r>
      <w:r>
        <w:t xml:space="preserve"> One imperative per status, with the exemplar case from §3.0, the implied human-AI coordination mechanism, and the count of cases in the current repository where the top behavioral anchor is clearly met (denominator = 36 cases, except for the three shrinking task-clusters where only the 11 shrinking-positive cases are relevant).</w:t>
      </w:r>
    </w:p>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rPr>
            </w:r>
            <w:r>
              <w:rPr>
                <w:b/>
              </w:rPr>
              <w:t>Status</w:t>
            </w:r>
          </w:p>
        </w:tc>
        <w:tc>
          <w:tcPr>
            <w:tcW w:type="dxa" w:w="1728"/>
          </w:tcPr>
          <w:p>
            <w:r>
              <w:rPr>
                <w:b/>
              </w:rPr>
            </w:r>
            <w:r>
              <w:rPr>
                <w:b/>
              </w:rPr>
              <w:t>Authors should…</w:t>
            </w:r>
          </w:p>
        </w:tc>
        <w:tc>
          <w:tcPr>
            <w:tcW w:type="dxa" w:w="1728"/>
          </w:tcPr>
          <w:p>
            <w:r>
              <w:rPr>
                <w:b/>
              </w:rPr>
            </w:r>
            <w:r>
              <w:rPr>
                <w:b/>
              </w:rPr>
              <w:t>Implied coordination mechanism</w:t>
            </w:r>
          </w:p>
        </w:tc>
        <w:tc>
          <w:tcPr>
            <w:tcW w:type="dxa" w:w="1728"/>
          </w:tcPr>
          <w:p>
            <w:r>
              <w:rPr>
                <w:b/>
              </w:rPr>
            </w:r>
            <w:r>
              <w:rPr>
                <w:b/>
              </w:rPr>
              <w:t>Exemplar case</w:t>
            </w:r>
          </w:p>
        </w:tc>
        <w:tc>
          <w:tcPr>
            <w:tcW w:type="dxa" w:w="1728"/>
          </w:tcPr>
          <w:p>
            <w:r>
              <w:rPr>
                <w:b/>
              </w:rPr>
            </w:r>
            <w:r>
              <w:rPr>
                <w:b/>
              </w:rPr>
              <w:t>Repository compliance</w:t>
            </w:r>
          </w:p>
        </w:tc>
      </w:tr>
      <w:tr>
        <w:tc>
          <w:tcPr>
            <w:tcW w:type="dxa" w:w="1728"/>
          </w:tcPr>
          <w:p>
            <w:r/>
            <w:r>
              <w:t>Robust</w:t>
            </w:r>
          </w:p>
        </w:tc>
        <w:tc>
          <w:tcPr>
            <w:tcW w:type="dxa" w:w="1728"/>
          </w:tcPr>
          <w:p>
            <w:r/>
            <w:r>
              <w:t>…tie the role to at least one inferential claim in methods or limitations; specify why AI substitution would degrade validity.</w:t>
            </w:r>
          </w:p>
        </w:tc>
        <w:tc>
          <w:tcPr>
            <w:tcW w:type="dxa" w:w="1728"/>
          </w:tcPr>
          <w:p>
            <w:r/>
            <w:r>
              <w:t>Human-as-sole-performer; AI excluded from this role-cell.</w:t>
            </w:r>
          </w:p>
        </w:tc>
        <w:tc>
          <w:tcPr>
            <w:tcW w:type="dxa" w:w="1728"/>
          </w:tcPr>
          <w:p>
            <w:r/>
            <w:r>
              <w:t>Keith, 2026 / Case 2</w:t>
            </w:r>
          </w:p>
        </w:tc>
        <w:tc>
          <w:tcPr>
            <w:tcW w:type="dxa" w:w="1728"/>
          </w:tcPr>
          <w:p>
            <w:r/>
            <w:r>
              <w:t>15 / 36 cases carry ≥ 1 robust coding for a starting role (42%)</w:t>
            </w:r>
          </w:p>
        </w:tc>
      </w:tr>
      <w:tr>
        <w:tc>
          <w:tcPr>
            <w:tcW w:type="dxa" w:w="1728"/>
          </w:tcPr>
          <w:p>
            <w:r/>
            <w:r>
              <w:t>Conditional</w:t>
            </w:r>
          </w:p>
        </w:tc>
        <w:tc>
          <w:tcPr>
            <w:tcW w:type="dxa" w:w="1728"/>
          </w:tcPr>
          <w:p>
            <w:r/>
            <w:r>
              <w:t>…name at least one moderator variable (task feature, data property, or institutional setting) under which human performance is required; report empirical variation in AI adequacy across that moderator.</w:t>
            </w:r>
          </w:p>
        </w:tc>
        <w:tc>
          <w:tcPr>
            <w:tcW w:type="dxa" w:w="1728"/>
          </w:tcPr>
          <w:p>
            <w:r/>
            <w:r>
              <w:t>Moderator-gated sign-off: AI performs the role and a human signs off contingent on the named moderator.</w:t>
            </w:r>
          </w:p>
        </w:tc>
        <w:tc>
          <w:tcPr>
            <w:tcW w:type="dxa" w:w="1728"/>
          </w:tcPr>
          <w:p>
            <w:r/>
            <w:r>
              <w:t>Baccolini, 2026 / Case 7</w:t>
            </w:r>
          </w:p>
        </w:tc>
        <w:tc>
          <w:tcPr>
            <w:tcW w:type="dxa" w:w="1728"/>
          </w:tcPr>
          <w:p>
            <w:r/>
            <w:r>
              <w:t>92 / 612 cells coded conditional (15%)</w:t>
            </w:r>
          </w:p>
        </w:tc>
      </w:tr>
      <w:tr>
        <w:tc>
          <w:tcPr>
            <w:tcW w:type="dxa" w:w="1728"/>
          </w:tcPr>
          <w:p>
            <w:r/>
            <w:r>
              <w:t>Transformed</w:t>
            </w:r>
          </w:p>
        </w:tc>
        <w:tc>
          <w:tcPr>
            <w:tcW w:type="dxa" w:w="1728"/>
          </w:tcPr>
          <w:p>
            <w:r/>
            <w:r>
              <w:t>…use before/after language or a verb swap; name new sub-tasks (disclosure, credit allocation, calibration audit) as new rather than as extensions.</w:t>
            </w:r>
          </w:p>
        </w:tc>
        <w:tc>
          <w:tcPr>
            <w:tcW w:type="dxa" w:w="1728"/>
          </w:tcPr>
          <w:p>
            <w:r/>
            <w:r>
              <w:t>Content-redefined human role: AI absorbs the prior content, the human's task list changes around it (Puranam, 2021 on AI-as-organizational-member).</w:t>
            </w:r>
          </w:p>
        </w:tc>
        <w:tc>
          <w:tcPr>
            <w:tcW w:type="dxa" w:w="1728"/>
          </w:tcPr>
          <w:p>
            <w:r/>
            <w:r>
              <w:t>Yin, n.d. / Case 29</w:t>
            </w:r>
          </w:p>
        </w:tc>
        <w:tc>
          <w:tcPr>
            <w:tcW w:type="dxa" w:w="1728"/>
          </w:tcPr>
          <w:p>
            <w:r/>
            <w:r>
              <w:t>30 / 612 cells coded transformed (4.9%)</w:t>
            </w:r>
          </w:p>
        </w:tc>
      </w:tr>
      <w:tr>
        <w:tc>
          <w:tcPr>
            <w:tcW w:type="dxa" w:w="1728"/>
          </w:tcPr>
          <w:p>
            <w:r/>
            <w:r>
              <w:t>Shrinking</w:t>
            </w:r>
          </w:p>
        </w:tc>
        <w:tc>
          <w:tcPr>
            <w:tcW w:type="dxa" w:w="1728"/>
          </w:tcPr>
          <w:p>
            <w:r/>
            <w:r>
              <w:t>…report the public ground truth or high-consensus target; characterize residual human labor as rescue, triage, or verification; do not extend the shrinkage claim to role-layer disappearance.</w:t>
            </w:r>
          </w:p>
        </w:tc>
        <w:tc>
          <w:tcPr>
            <w:tcW w:type="dxa" w:w="1728"/>
          </w:tcPr>
          <w:p>
            <w:r/>
            <w:r>
              <w:t>Exception-handling oversight: AI as default performer, human routed in for triage and rescue only.</w:t>
            </w:r>
          </w:p>
        </w:tc>
        <w:tc>
          <w:tcPr>
            <w:tcW w:type="dxa" w:w="1728"/>
          </w:tcPr>
          <w:p>
            <w:r/>
            <w:r>
              <w:t>Tornberg, 2025 / Case 1</w:t>
            </w:r>
          </w:p>
        </w:tc>
        <w:tc>
          <w:tcPr>
            <w:tcW w:type="dxa" w:w="1728"/>
          </w:tcPr>
          <w:p>
            <w:r/>
            <w:r>
              <w:t>40 / 612 cells coded shrinking (6.5%), concentrated in 11 cases</w:t>
            </w:r>
          </w:p>
        </w:tc>
      </w:tr>
      <w:tr>
        <w:tc>
          <w:tcPr>
            <w:tcW w:type="dxa" w:w="1728"/>
          </w:tcPr>
          <w:p>
            <w:r/>
            <w:r>
              <w:t>Split pressure</w:t>
            </w:r>
          </w:p>
        </w:tc>
        <w:tc>
          <w:tcPr>
            <w:tcW w:type="dxa" w:w="1728"/>
          </w:tcPr>
          <w:p>
            <w:r/>
            <w:r>
              <w:t>…show that AI performance differs across the conflated sub-activities; distinguish the sub-activities in the analysis and revise the typology accordingly.</w:t>
            </w:r>
          </w:p>
        </w:tc>
        <w:tc>
          <w:tcPr>
            <w:tcW w:type="dxa" w:w="1728"/>
          </w:tcPr>
          <w:p>
            <w:r/>
            <w:r>
              <w:t>Role bifurcation: two separately-coordinated sub-roles, each with its own performer assignment (the typology changes, not just the allocation).</w:t>
            </w:r>
          </w:p>
        </w:tc>
        <w:tc>
          <w:tcPr>
            <w:tcW w:type="dxa" w:w="1728"/>
          </w:tcPr>
          <w:p>
            <w:r/>
            <w:r>
              <w:t>Gligorić, n.d. / Case 3</w:t>
            </w:r>
          </w:p>
        </w:tc>
        <w:tc>
          <w:tcPr>
            <w:tcW w:type="dxa" w:w="1728"/>
          </w:tcPr>
          <w:p>
            <w:r/>
            <w:r>
              <w:t>39 / 612 cells flagged split pressure (6.4%); 7 of 8 starting roles triggered</w:t>
            </w:r>
          </w:p>
        </w:tc>
      </w:tr>
      <w:tr>
        <w:tc>
          <w:tcPr>
            <w:tcW w:type="dxa" w:w="1728"/>
          </w:tcPr>
          <w:p>
            <w:r/>
            <w:r>
              <w:t>Merge pressure</w:t>
            </w:r>
          </w:p>
        </w:tc>
        <w:tc>
          <w:tcPr>
            <w:tcW w:type="dxa" w:w="1728"/>
          </w:tcPr>
          <w:p>
            <w:r/>
            <w:r>
              <w:t>…report evidence that the two roles are inseparable in practice within the case; treat them as a joint object rather than as independent activities.</w:t>
            </w:r>
          </w:p>
        </w:tc>
        <w:tc>
          <w:tcPr>
            <w:tcW w:type="dxa" w:w="1728"/>
          </w:tcPr>
          <w:p>
            <w:r/>
            <w:r>
              <w:t>Joint-object coordination: the two role-cells must be performed by a single accountable unit (individual, team, or sign-off body) rather than divided.</w:t>
            </w:r>
          </w:p>
        </w:tc>
        <w:tc>
          <w:tcPr>
            <w:tcW w:type="dxa" w:w="1728"/>
          </w:tcPr>
          <w:p>
            <w:r/>
            <w:r>
              <w:t>Hajishirzi, 2026 / Case 10</w:t>
            </w:r>
          </w:p>
        </w:tc>
        <w:tc>
          <w:tcPr>
            <w:tcW w:type="dxa" w:w="1728"/>
          </w:tcPr>
          <w:p>
            <w:r/>
            <w:r>
              <w:t>2 / 612 cells, both on Case 10 (0.3%)</w:t>
            </w:r>
          </w:p>
        </w:tc>
      </w:tr>
    </w:tbl>
    <w:p/>
    <w:p>
      <w:r>
        <w:t xml:space="preserve">Table 5 and Table 6 together summarize the framework's applied use; the decision tree in Appendix E is the auditable protocol for assigning a status to a new (role × case) cell. The three H hypotheses are supported as repository patterns with explicitly differentiated levels of inferential support — boundary-setting and procedure-setting roles survive more often than routine production clusters (H1), shrinkage clusters where auditability and public ground truth are strongest (H2), and case family is a stronger </w:t>
      </w:r>
      <w:r>
        <w:rPr>
          <w:i/>
        </w:rPr>
        <w:t>cell-level</w:t>
      </w:r>
      <w:r>
        <w:t xml:space="preserve"> associate of role status than AI capability (H3; per-role Wilcoxon </w:t>
      </w:r>
      <w:r>
        <w:rPr>
          <w:i/>
        </w:rPr>
        <w:t>p</w:t>
      </w:r>
      <w:r>
        <w:t xml:space="preserve"> = 0.0006 and cell-level Monte-Carlo </w:t>
      </w:r>
      <w:r>
        <w:rPr>
          <w:i/>
        </w:rPr>
        <w:t>p</w:t>
      </w:r>
      <w:r>
        <w:t xml:space="preserve"> = 0.0002 both survive Holm correction, but the clustering-aware case-level Monte-Carlo </w:t>
      </w:r>
      <w:r>
        <w:rPr>
          <w:i/>
        </w:rPr>
        <w:t>p</w:t>
      </w:r>
      <w:r>
        <w:t xml:space="preserve"> = 0.58 does not, so H3 is bounded to the cell-level association at N = 36 cases).</w:t>
      </w:r>
    </w:p>
    <w:p>
      <w:r>
        <w:t>The paired deliverable is therefore not the manuscript alone but the released 36-case database, codebook, status rubric, coder protocol (Appendix E), and reviewer-audit checklist (Appendix F). The comparative typology audit is their analytic expression, and readers are invited to apply, contest, and extend the coding on the released case files.</w:t>
      </w:r>
    </w:p>
    <w:p>
      <w:r>
        <w:t>This work sits within a broader computational-social-science agenda that has, since its founding statement (Lazer et al., 2009), repeatedly insisted that computational methods are inseparable from theoretical and methodological discipline rather than substitutes for them — that computational social science is not computer science plus social data (Wallach, 2018) — and that the field's obstacles and opportunities arise from how computation, theory, and measurement combine (Lazer et al., 2020; Edelmann, Wolff, Montagne, &amp; Bail, 2020). The role-system rubric advanced here is one such combination at a level the existing CSS literature has under-theorized: not the pipeline (which Hickman et al., 2022 covers) and not the model (which the foundation-models literature covers), but the activity-level role within which both pipeline and model are embedded. Three near-term research directions follow from the framework. First, a human second-coder pass on the full 612-cell coding (the unmet commitment in Appendix B) would close the cell-level reliability gap and license stronger per-cell claims. Second, a stratified extension to a 2027 sample of cases — including the agentic-pipeline cases that have proliferated since the 2024–2026 sample window — would test the manuscript's three forward-looking predictions about merge pressure, calibration-vs-context-witness segmentation, and the modal status of accountability-and-labor-allocator. Third, a parallel rubric application by independent research groups would surface jurisdictional variation in the rubric itself: the question of whether the role-system construct travels across substantive subfields (organization studies, education, public health) or whether each subfield's epistemic-validity demands generate its own role taxonomy is empirically open and is exactly the kind of question generative AI in social science (Bail, 2024) makes newly tractable. The empirical terrain has changed: not from human research to machine research, but from one research role system to another.</w:t>
      </w:r>
    </w:p>
    <w:p>
      <w:pPr>
        <w:pStyle w:val="Heading1"/>
      </w:pPr>
      <w:r>
        <w:t>Provisional References</w:t>
      </w:r>
    </w:p>
    <w:p>
      <w:pPr>
        <w:pStyle w:val="ListBullet"/>
      </w:pPr>
      <w:r>
        <w:t>Tornberg, 2025. Large Language Models Outperform Expert Coders and Supervised Classifiers at Annotating Political Social Media Messages. [C001_P1]</w:t>
      </w:r>
    </w:p>
    <w:p>
      <w:pPr>
        <w:pStyle w:val="ListBullet"/>
      </w:pPr>
      <w:r>
        <w:t>Keith, 2026. Codebook LLMs: Evaluating LLMs as Measurement Tools for Political Science Concepts. [C002_P1]</w:t>
      </w:r>
    </w:p>
    <w:p>
      <w:pPr>
        <w:pStyle w:val="ListBullet"/>
      </w:pPr>
      <w:r>
        <w:t>Gligorić, n.d.. Multi-Perspective LLM Annotations for Valid Analyses in Subjective Tasks. [C003_P1]</w:t>
      </w:r>
    </w:p>
    <w:p>
      <w:pPr>
        <w:pStyle w:val="ListBullet"/>
      </w:pPr>
      <w:r>
        <w:t>Baccolini, 2026. Compact large language models for title and abstract screening in systematic reviews: An assessment of feasibility, accuracy, and workload reduction. [C007_P1]</w:t>
      </w:r>
    </w:p>
    <w:p>
      <w:pPr>
        <w:pStyle w:val="ListBullet"/>
      </w:pPr>
      <w:r>
        <w:t>Hajishirzi, 2026. Synthesizing scientific literature with retrieval-augmented language models. [C010_P1]</w:t>
      </w:r>
    </w:p>
    <w:p>
      <w:pPr>
        <w:pStyle w:val="ListBullet"/>
      </w:pPr>
      <w:r>
        <w:t>Hernandez, 2025. Reading children’s moral dramas in anthropological fieldnotes: A human-AI hybrid approach. [C019_P1]</w:t>
      </w:r>
    </w:p>
    <w:p>
      <w:pPr>
        <w:pStyle w:val="ListBullet"/>
      </w:pPr>
      <w:r>
        <w:t>Larson, 2024. Synthetic Replacements for Human Survey Data? The Perils of Large Language Models. [C021_P1]</w:t>
      </w:r>
    </w:p>
    <w:p>
      <w:pPr>
        <w:pStyle w:val="ListBullet"/>
      </w:pPr>
      <w:r>
        <w:t>Xiao, n.d.. Nonstandard Errors in AI Agents. [C024_P1]</w:t>
      </w:r>
    </w:p>
    <w:p>
      <w:pPr>
        <w:pStyle w:val="ListBullet"/>
      </w:pPr>
      <w:r>
        <w:t>Project APE, n.d.. Project APE: Can policy evaluation be automated? Or is hallucinated slop unavoidable? Let’s find out.. [C025_P1]</w:t>
      </w:r>
    </w:p>
    <w:p>
      <w:pPr>
        <w:pStyle w:val="ListBullet"/>
      </w:pPr>
      <w:r>
        <w:t>Kang, 2025. REPRO-Bench: Can Agentic AI Systems Assess the Reproducibility of Social Science Research?. [C027_P1]</w:t>
      </w:r>
    </w:p>
    <w:p>
      <w:pPr>
        <w:pStyle w:val="ListBullet"/>
      </w:pPr>
      <w:r>
        <w:t>Bleier, n.d.. Automating Computational Reproducibility in Social Science: Comparing Prompt-Based and Agent-Based Approaches. [C028_P1]</w:t>
      </w:r>
    </w:p>
    <w:p>
      <w:pPr>
        <w:pStyle w:val="ListBullet"/>
      </w:pPr>
      <w:r>
        <w:t>Yin, n.d.. Scientific production in the era of Large Language Models. [C029_P1]</w:t>
      </w:r>
    </w:p>
    <w:p>
      <w:pPr>
        <w:pStyle w:val="ListBullet"/>
      </w:pPr>
      <w:r>
        <w:t>Cox, n.d.. AI Disclosure with DAISY. [C030_P1]</w:t>
      </w:r>
    </w:p>
    <w:p>
      <w:pPr>
        <w:pStyle w:val="ListBullet"/>
      </w:pPr>
      <w:r>
        <w:t>Ha, n.d.. The AI Scientist: Towards Fully Automated Open-Ended Scientific Discovery. [C032_P1]</w:t>
      </w:r>
    </w:p>
    <w:p>
      <w:pPr>
        <w:pStyle w:val="ListBullet"/>
      </w:pPr>
      <w:r>
        <w:t>Li, n.d.. AgentSociety: Large-Scale Simulation of LLM-Driven Generative Agents Advances Understanding of Human Behaviors and Society. [C034_P1]</w:t>
      </w:r>
    </w:p>
    <w:p>
      <w:pPr>
        <w:pStyle w:val="ListBullet"/>
      </w:pPr>
      <w:r>
        <w:t>Abbott, 1988. The System of Professions: An Essay on the Division of Expert Labor. [BG001]</w:t>
      </w:r>
    </w:p>
    <w:p>
      <w:pPr>
        <w:pStyle w:val="ListBullet"/>
      </w:pPr>
      <w:r>
        <w:t>Freidson, 2001. Professionalism, the Third Logic: On the Practice of Knowledge. [BG005]</w:t>
      </w:r>
    </w:p>
    <w:p>
      <w:pPr>
        <w:pStyle w:val="ListBullet"/>
      </w:pPr>
      <w:r>
        <w:t>Grimmer, 2021. Machine Learning for Social Science: An Agnostic Approach. [BG002]</w:t>
      </w:r>
    </w:p>
    <w:p>
      <w:pPr>
        <w:pStyle w:val="ListBullet"/>
      </w:pPr>
      <w:r>
        <w:t>Amershi, 2019. Guidelines for Human-AI Interaction. [BG003]</w:t>
      </w:r>
    </w:p>
    <w:p>
      <w:pPr>
        <w:pStyle w:val="ListBullet"/>
      </w:pPr>
      <w:r>
        <w:t>Shneiderman, 2022. Human-Centered AI. [BG004]</w:t>
      </w:r>
    </w:p>
    <w:p>
      <w:pPr>
        <w:pStyle w:val="ListBullet"/>
      </w:pPr>
      <w:r>
        <w:t>Bail, 2024. Can Generative AI improve social science? [BG006]</w:t>
      </w:r>
    </w:p>
    <w:p>
      <w:pPr>
        <w:pStyle w:val="ListBullet"/>
      </w:pPr>
      <w:r>
        <w:t>Ziems et al., 2024. Can large language models transform computational social science? [BG007]</w:t>
      </w:r>
    </w:p>
    <w:p>
      <w:pPr>
        <w:pStyle w:val="ListBullet"/>
      </w:pPr>
      <w:r>
        <w:t>Dillion et al., 2023. Can AI language models replace human participants? [BG008]</w:t>
      </w:r>
    </w:p>
    <w:p>
      <w:pPr>
        <w:pStyle w:val="ListBullet"/>
      </w:pPr>
      <w:r>
        <w:t>Manning, Zhu, and Horton, 2024. Automated social science: Language models as scientist and subjects. [BG009]</w:t>
      </w:r>
    </w:p>
    <w:p>
      <w:pPr>
        <w:pStyle w:val="ListBullet"/>
      </w:pPr>
      <w:r>
        <w:t>Aguinis, Ramani, and Alabduljader, 2018. What you see is what you get? Enhancing methodological transparency in management research. [BG010]</w:t>
      </w:r>
    </w:p>
    <w:p>
      <w:pPr>
        <w:pStyle w:val="ListBullet"/>
      </w:pPr>
      <w:r>
        <w:t>Bergh et al., 2017. Is there a credibility crisis in strategic management research? Evidence on the reproducibility of study findings. [BG011]</w:t>
      </w:r>
    </w:p>
    <w:p>
      <w:pPr>
        <w:pStyle w:val="ListBullet"/>
      </w:pPr>
      <w:r>
        <w:t>Fiss, 2011. Building better causal theories: A fuzzy set approach to typologies in organization research. [BG012]</w:t>
      </w:r>
    </w:p>
    <w:p>
      <w:pPr>
        <w:pStyle w:val="ListBullet"/>
      </w:pPr>
      <w:r>
        <w:t>Delbridge and Fiss, 2013. Editors' comments: Styles of theorizing and the social organization of knowledge. [BG013]</w:t>
      </w:r>
    </w:p>
    <w:p>
      <w:pPr>
        <w:pStyle w:val="ListBullet"/>
      </w:pPr>
      <w:r>
        <w:t>Cornelissen, 2017. Editor's comments: Developing propositions, a process model, or a typology? Addressing the challenges of writing theory without a boilerplate. [BG014]</w:t>
      </w:r>
    </w:p>
    <w:p>
      <w:pPr>
        <w:pStyle w:val="ListBullet"/>
      </w:pPr>
      <w:r>
        <w:t>Abbott, 2005. Linked ecologies: States and universities as environments for professions. [BG015]</w:t>
      </w:r>
    </w:p>
    <w:p>
      <w:pPr>
        <w:pStyle w:val="ListBullet"/>
      </w:pPr>
      <w:r>
        <w:t>Eyal, 2013. For a sociology of expertise: The social origins of the autism epidemic. [BG016]</w:t>
      </w:r>
    </w:p>
    <w:p>
      <w:pPr>
        <w:pStyle w:val="ListBullet"/>
      </w:pPr>
      <w:r>
        <w:t>Anteby, Chan, and DiBenigno, 2016. Three lenses on occupations and professions in organizations: Becoming, doing, and relating. [BG017]</w:t>
      </w:r>
    </w:p>
    <w:p>
      <w:pPr>
        <w:pStyle w:val="ListBullet"/>
      </w:pPr>
      <w:r>
        <w:t>Merton, 1957. The role-set: Problems in sociological theory. [BG018]</w:t>
      </w:r>
    </w:p>
    <w:p>
      <w:pPr>
        <w:pStyle w:val="ListBullet"/>
      </w:pPr>
      <w:r>
        <w:t>Biddle, 1986. Recent developments in role theory. [BG019]</w:t>
      </w:r>
    </w:p>
    <w:p>
      <w:pPr>
        <w:pStyle w:val="ListBullet"/>
      </w:pPr>
      <w:r>
        <w:t>Cronbach and Meehl, 1955. Construct validity in psychological tests. [BG020]</w:t>
      </w:r>
    </w:p>
    <w:p>
      <w:pPr>
        <w:pStyle w:val="ListBullet"/>
      </w:pPr>
      <w:r>
        <w:t>Messick, 1995. Validity of psychological assessment: Validation of inferences from persons' responses and performances as scientific inquiry into score meaning. [BG021]</w:t>
      </w:r>
    </w:p>
    <w:p>
      <w:pPr>
        <w:pStyle w:val="ListBullet"/>
      </w:pPr>
      <w:r>
        <w:t>Stemler, 2001. An overview of content analysis. [BG022]</w:t>
      </w:r>
    </w:p>
    <w:p>
      <w:pPr>
        <w:pStyle w:val="ListBullet"/>
      </w:pPr>
      <w:r>
        <w:t>Duriau, Reger, and Pfarrer, 2007. A content analysis of the content analysis literature in organization studies. [BG023]</w:t>
      </w:r>
    </w:p>
    <w:p>
      <w:pPr>
        <w:pStyle w:val="ListBullet"/>
      </w:pPr>
      <w:r>
        <w:t>Krippendorff, 2011. Computing Krippendorff's alpha-reliability. [BG024]</w:t>
      </w:r>
    </w:p>
    <w:p>
      <w:pPr>
        <w:pStyle w:val="ListBullet"/>
      </w:pPr>
      <w:r>
        <w:t>Page et al., 2021. The PRISMA 2020 statement: An updated guideline for reporting systematic reviews. [BG025]</w:t>
      </w:r>
    </w:p>
    <w:p>
      <w:pPr>
        <w:pStyle w:val="ListBullet"/>
      </w:pPr>
      <w:r>
        <w:t>Tranfield, Denyer, and Smart, 2003. Towards a methodology for developing evidence-informed management knowledge by means of systematic review. [BG026]</w:t>
      </w:r>
    </w:p>
    <w:p>
      <w:pPr>
        <w:pStyle w:val="ListBullet"/>
      </w:pPr>
      <w:r>
        <w:t>Lazer et al., 2009. Computational social science. [BG027]</w:t>
      </w:r>
    </w:p>
    <w:p>
      <w:pPr>
        <w:pStyle w:val="ListBullet"/>
      </w:pPr>
      <w:r>
        <w:t>Edelmann, Wolff, Montagne, and Bail, 2020. Computational social science and sociology. [BG028]</w:t>
      </w:r>
    </w:p>
    <w:p>
      <w:pPr>
        <w:pStyle w:val="ListBullet"/>
      </w:pPr>
      <w:r>
        <w:t>Lazer et al., 2020. Computational social science: Obstacles and opportunities. [BG029]</w:t>
      </w:r>
    </w:p>
    <w:p>
      <w:pPr>
        <w:pStyle w:val="ListBullet"/>
      </w:pPr>
      <w:r>
        <w:t>Autor, 2015. Why are there still so many jobs? The history and future of workplace automation. [BG030]</w:t>
      </w:r>
    </w:p>
    <w:p>
      <w:pPr>
        <w:pStyle w:val="ListBullet"/>
      </w:pPr>
      <w:r>
        <w:t>Brynjolfsson and Mitchell, 2017. What can machine learning do? Workforce implications. [BG031]</w:t>
      </w:r>
    </w:p>
    <w:p>
      <w:pPr>
        <w:pStyle w:val="ListBullet"/>
      </w:pPr>
      <w:r>
        <w:t>Raisch and Krakowski, 2021. Artificial intelligence and management: The automation-augmentation paradox. [BG032]</w:t>
      </w:r>
    </w:p>
    <w:p>
      <w:pPr>
        <w:pStyle w:val="ListBullet"/>
      </w:pPr>
      <w:r>
        <w:t>Nosek et al., 2015. Promoting an open research culture. [BG033]</w:t>
      </w:r>
    </w:p>
    <w:p>
      <w:pPr>
        <w:pStyle w:val="ListBullet"/>
      </w:pPr>
      <w:r>
        <w:t>Nosek, Ebersole, DeHaven, and Mellor, 2018. The preregistration revolution. [BG034]</w:t>
      </w:r>
    </w:p>
    <w:p>
      <w:pPr>
        <w:pStyle w:val="ListBullet"/>
      </w:pPr>
      <w:r>
        <w:t>Gelman and Loken, 2014. The statistical crisis in science. [BG035]</w:t>
      </w:r>
    </w:p>
    <w:p>
      <w:pPr>
        <w:pStyle w:val="ListBullet"/>
      </w:pPr>
      <w:r>
        <w:t>Open Science Collaboration, 2015. Estimating the reproducibility of psychological science. [BG036]</w:t>
      </w:r>
    </w:p>
    <w:p>
      <w:pPr>
        <w:pStyle w:val="ListBullet"/>
      </w:pPr>
      <w:r>
        <w:t>Ioannidis, 2005. Why most published research findings are false. [BG037]</w:t>
      </w:r>
    </w:p>
    <w:p>
      <w:pPr>
        <w:pStyle w:val="ListBullet"/>
      </w:pPr>
      <w:r>
        <w:t>Grossmann et al., 2023. AI and the transformation of social science research. [BG038]</w:t>
      </w:r>
    </w:p>
    <w:p>
      <w:pPr>
        <w:pStyle w:val="ListBullet"/>
      </w:pPr>
      <w:r>
        <w:t>Törnberg, 2023. How to use LLMs for text analysis. [BG039]</w:t>
      </w:r>
    </w:p>
    <w:p>
      <w:pPr>
        <w:pStyle w:val="ListBullet"/>
      </w:pPr>
      <w:r>
        <w:t>Demszky et al., 2023. Using large language models in psychology. [BG040]</w:t>
      </w:r>
    </w:p>
    <w:p>
      <w:pPr>
        <w:pStyle w:val="ListBullet"/>
      </w:pPr>
      <w:r>
        <w:t>Luo et al., 2024. AI for scientific research: A survey. [BG041]</w:t>
      </w:r>
    </w:p>
    <w:p>
      <w:pPr>
        <w:pStyle w:val="ListBullet"/>
      </w:pPr>
      <w:r>
        <w:t>Aguinis, Pierce, Bosco, and Muslin, 2009. First decade of Organizational Research Methods: Trends in design, measurement, and data-analysis topics. [BG042]</w:t>
      </w:r>
    </w:p>
    <w:p>
      <w:pPr>
        <w:pStyle w:val="ListBullet"/>
      </w:pPr>
      <w:r>
        <w:t>Aguinis, Ramani, and Alabduljader, 2023. Best-practice recommendations for producers, evaluators, and users of methodological literature reviews. [BG043]</w:t>
      </w:r>
    </w:p>
    <w:p>
      <w:pPr>
        <w:pStyle w:val="ListBullet"/>
      </w:pPr>
      <w:r>
        <w:t>Aguinis and Solarino, 2019. Transparency and replicability in qualitative research: The case of interviews with elite informants. [BG044]</w:t>
      </w:r>
    </w:p>
    <w:p>
      <w:pPr>
        <w:pStyle w:val="ListBullet"/>
      </w:pPr>
      <w:r>
        <w:t>Hickman, Thapa, Tay, Cao, and Srinivasan, 2022. Text preprocessing for text mining in organizational research: Review and recommendations. [BG045]</w:t>
      </w:r>
    </w:p>
    <w:p>
      <w:pPr>
        <w:pStyle w:val="ListBullet"/>
      </w:pPr>
      <w:r>
        <w:t>Edwards, 2001. Multidimensional constructs in organizational behavior research: An integrative analytical framework. [BG046]</w:t>
      </w:r>
    </w:p>
    <w:p>
      <w:pPr>
        <w:pStyle w:val="ListBullet"/>
      </w:pPr>
      <w:r>
        <w:t>Tay, Woo, Hickman, Booth, and D'Mello, 2022. A conceptual framework for investigating and mitigating machine-learning measurement bias (MLMB) in psychological assessment. [BG047]</w:t>
      </w:r>
    </w:p>
    <w:p>
      <w:pPr>
        <w:pStyle w:val="ListBullet"/>
      </w:pPr>
      <w:r>
        <w:t>Siddaway, Wood, and Hedges, 2019. How to do a systematic review: A best practice guide for conducting and reporting narrative reviews, meta-analyses, and meta-syntheses. [BG048]</w:t>
      </w:r>
    </w:p>
    <w:p>
      <w:pPr>
        <w:pStyle w:val="ListBullet"/>
      </w:pPr>
      <w:r>
        <w:t>Hruschka, Schwartz, St. John, Picone-Decaro, Jenkins, and Carey, 2004. Reliability in coding open-ended data: Lessons learned from HIV behavioral research. [BG049]</w:t>
      </w:r>
    </w:p>
    <w:p>
      <w:pPr>
        <w:pStyle w:val="ListBullet"/>
      </w:pPr>
      <w:r>
        <w:t>Borsboom, Mellenbergh, and van Heerden, 2004. The concept of validity. [BG050]</w:t>
      </w:r>
    </w:p>
    <w:p>
      <w:pPr>
        <w:pStyle w:val="ListBullet"/>
      </w:pPr>
      <w:r>
        <w:t>Doty and Glick, 1994. Typologies as a unique form of theory building: Toward improved understanding and modeling. [BG051]</w:t>
      </w:r>
    </w:p>
    <w:p>
      <w:pPr>
        <w:pStyle w:val="ListBullet"/>
      </w:pPr>
      <w:r>
        <w:t>Eisenhardt, 1989. Building theories from case study research. [BG052]</w:t>
      </w:r>
    </w:p>
    <w:p>
      <w:pPr>
        <w:pStyle w:val="ListBullet"/>
      </w:pPr>
      <w:r>
        <w:t>Eisenhardt, 2021. What is the Eisenhardt method, really? [BG053]</w:t>
      </w:r>
    </w:p>
    <w:p>
      <w:pPr>
        <w:pStyle w:val="ListBullet"/>
      </w:pPr>
      <w:r>
        <w:t>Flyvbjerg, 2006. Five misunderstandings about case-study research. [BG054]</w:t>
      </w:r>
    </w:p>
    <w:p>
      <w:pPr>
        <w:pStyle w:val="ListBullet"/>
      </w:pPr>
      <w:r>
        <w:t>Langley, 1999. Strategies for theorizing from process data. [BG055]</w:t>
      </w:r>
    </w:p>
    <w:p>
      <w:pPr>
        <w:pStyle w:val="ListBullet"/>
      </w:pPr>
      <w:r>
        <w:t>Frey and Osborne, 2017. The future of employment: How susceptible are jobs to computerisation? [BG056]</w:t>
      </w:r>
    </w:p>
    <w:p>
      <w:pPr>
        <w:pStyle w:val="ListBullet"/>
      </w:pPr>
      <w:r>
        <w:t>Acemoglu and Restrepo, 2020. Robots and jobs: Evidence from US labor markets. [BG057]</w:t>
      </w:r>
    </w:p>
    <w:p>
      <w:pPr>
        <w:pStyle w:val="ListBullet"/>
      </w:pPr>
      <w:r>
        <w:t>Kraus, Ribeiro-Soriano, and Schüssler, 2018. Fuzzy-set qualitative comparative analysis (fsQCA) in entrepreneurship and innovation research. [BG058]</w:t>
      </w:r>
    </w:p>
    <w:p>
      <w:pPr>
        <w:pStyle w:val="ListBullet"/>
      </w:pPr>
      <w:r>
        <w:t>Greckhamer, Furnari, Fiss, and Aguilera, 2018. Studying configurations with qualitative comparative analysis: Best practices in strategy and organization research. [BG059]</w:t>
      </w:r>
    </w:p>
    <w:p>
      <w:pPr>
        <w:pStyle w:val="ListBullet"/>
      </w:pPr>
      <w:r>
        <w:t>Liang et al., 2022. Holistic evaluation of language models. [BG060]</w:t>
      </w:r>
    </w:p>
    <w:p>
      <w:pPr>
        <w:pStyle w:val="ListBullet"/>
      </w:pPr>
      <w:r>
        <w:t>Chang et al., 2024. A survey on evaluation of large language models. [BG061]</w:t>
      </w:r>
    </w:p>
    <w:p>
      <w:pPr>
        <w:pStyle w:val="ListBullet"/>
      </w:pPr>
      <w:r>
        <w:t>Bommasani et al., 2022. On the opportunities and risks of foundation models. [BG062]</w:t>
      </w:r>
    </w:p>
    <w:p>
      <w:pPr>
        <w:pStyle w:val="ListBullet"/>
      </w:pPr>
      <w:r>
        <w:t>Weidinger et al., 2021. Ethical and social risks of harm from language models. [BG063]</w:t>
      </w:r>
    </w:p>
    <w:p>
      <w:pPr>
        <w:pStyle w:val="ListBullet"/>
      </w:pPr>
      <w:r>
        <w:t>Hayes and Krippendorff, 2007. Answering the call for a standard reliability measure for coding data. [BG064]</w:t>
      </w:r>
    </w:p>
    <w:p>
      <w:pPr>
        <w:pStyle w:val="ListBullet"/>
      </w:pPr>
      <w:r>
        <w:t>Lombard, Snyder-Duch, and Bracken, 2002. Content analysis in mass communication: Assessment and reporting of intercoder reliability. [BG065]</w:t>
      </w:r>
    </w:p>
    <w:p>
      <w:pPr>
        <w:pStyle w:val="ListBullet"/>
      </w:pPr>
      <w:r>
        <w:t>Landis and Koch, 1977. The measurement of observer agreement for categorical data. [BG066]</w:t>
      </w:r>
    </w:p>
    <w:p>
      <w:pPr>
        <w:pStyle w:val="ListBullet"/>
      </w:pPr>
      <w:r>
        <w:t>Wallach, 2018. Computational social science ≠ computer science + social data. [BG067]</w:t>
      </w:r>
    </w:p>
    <w:p>
      <w:pPr>
        <w:pStyle w:val="ListBullet"/>
      </w:pPr>
      <w:r>
        <w:t>McHugh, 2012. Interrater reliability: The kappa statistic. *Biochemia Medica*, 22(3), 276–282. [BG068]</w:t>
      </w:r>
    </w:p>
    <w:p>
      <w:pPr>
        <w:pStyle w:val="ListBullet"/>
      </w:pPr>
      <w:r>
        <w:t>Snyder, 2019. Literature review as a research methodology: An overview and guidelines. *Journal of Business Research*, 104, 333–339. [BG069]</w:t>
      </w:r>
    </w:p>
    <w:p>
      <w:pPr>
        <w:pStyle w:val="ListBullet"/>
      </w:pPr>
      <w:r>
        <w:t>Cornelissen, Höllerer, and Seidl, 2021. What theory is and can be: Forms of theorizing in organizational scholarship. *Organization Theory*, 2(3), 1–19. [BG070]</w:t>
      </w:r>
    </w:p>
    <w:p>
      <w:pPr>
        <w:pStyle w:val="ListBullet"/>
      </w:pPr>
      <w:r>
        <w:t>Furnari, Crilly, Misangyi, Greckhamer, Fiss, and Aguilera, 2021. Capturing causal complexity: Heuristics for configurational theorizing. *Academy of Management Review*, 46(4), 778–799. [BG071]</w:t>
      </w:r>
    </w:p>
    <w:p>
      <w:pPr>
        <w:pStyle w:val="ListBullet"/>
      </w:pPr>
      <w:r>
        <w:t>Misangyi, Greckhamer, Furnari, Fiss, Crilly, and Aguilera, 2017. Embracing causal complexity: The emergence of a neo-configurational perspective. *Journal of Management*, 43(1), 255–282. [BG072]</w:t>
      </w:r>
    </w:p>
    <w:p>
      <w:pPr>
        <w:pStyle w:val="ListBullet"/>
      </w:pPr>
      <w:r>
        <w:t>Welch, Piekkari, Plakoyiannaki, and Paavilainen-Mäntymäki, 2011. Theorising from case studies: Towards a pluralist future for international business research. *Journal of International Business Studies*, 42(5), 740–762. [BG073]</w:t>
      </w:r>
    </w:p>
    <w:p>
      <w:pPr>
        <w:pStyle w:val="ListBullet"/>
      </w:pPr>
      <w:r>
        <w:t>Ramarajan, 2014. Past, present and future research on multiple identities: Toward an intrapersonal network approach. *Academy of Management Annals*, 8(1), 589–659. [BG074]</w:t>
      </w:r>
    </w:p>
    <w:p>
      <w:pPr>
        <w:pStyle w:val="ListBullet"/>
      </w:pPr>
      <w:r>
        <w:t>Eyal and Pok, 2015. From a sociology of professions to a sociology of expertise. In R. Scott &amp; S. Kosslyn (Eds.), *Emerging Trends in the Social and Behavioral Sciences*. Wiley. [BG075]</w:t>
      </w:r>
    </w:p>
    <w:p>
      <w:pPr>
        <w:pStyle w:val="ListBullet"/>
      </w:pPr>
      <w:r>
        <w:t>Eloundou, Manning, Mishkin, and Rock, 2023. GPTs are GPTs: An early look at the labor market impact potential of large language models. *arXiv:2303.10130*. [BG076]</w:t>
      </w:r>
    </w:p>
    <w:p>
      <w:pPr>
        <w:pStyle w:val="ListBullet"/>
      </w:pPr>
      <w:r>
        <w:t>Felten, Raj, and Seamans, 2023. How will language modelers like ChatGPT affect occupations and industries? *arXiv:2303.01157*. [BG077]</w:t>
      </w:r>
    </w:p>
    <w:p>
      <w:pPr>
        <w:pStyle w:val="ListBullet"/>
      </w:pPr>
      <w:r>
        <w:t>Woolley, Chabris, Pentland, Hashmi, and Malone, 2010. Evidence for a collective intelligence factor in the performance of human groups. *Science*, 330(6004), 686–688. [BG078]</w:t>
      </w:r>
    </w:p>
    <w:p>
      <w:pPr>
        <w:pStyle w:val="ListBullet"/>
      </w:pPr>
      <w:r>
        <w:t>Pratt, Kaplan, and Whittington, 2020. Editorial essay: The tumult over transparency: Decoupling transparency from replication in establishing trustworthy qualitative research. *Administrative Science Quarterly*, 65(1), 1–19. [BG079]</w:t>
      </w:r>
    </w:p>
    <w:p>
      <w:pPr>
        <w:pStyle w:val="ListBullet"/>
      </w:pPr>
      <w:r>
        <w:t>Puranam, 2021. Human-AI collaborative decision-making as an organization design problem. *Journal of Organization Design*, 10(2), 75–80. [BG080]</w:t>
      </w:r>
    </w:p>
    <w:p>
      <w:pPr>
        <w:pStyle w:val="ListBullet"/>
      </w:pPr>
      <w:r>
        <w:t>Puranam, Alexy, and Reitzig, 2014. What's "new" about new forms of organizing? *Academy of Management Review*, 39(2), 162–180. [BG081]</w:t>
      </w:r>
    </w:p>
    <w:p>
      <w:pPr>
        <w:pStyle w:val="ListBullet"/>
      </w:pPr>
      <w:r>
        <w:t>Orlikowski, 2007. Sociomaterial practices: Exploring technology at work. *Organization Studies*, 28(9), 1435–1448. [BG082]</w:t>
      </w:r>
    </w:p>
    <w:p>
      <w:pPr>
        <w:pStyle w:val="ListBullet"/>
      </w:pPr>
      <w:r>
        <w:t>Orlikowski and Scott, 2008. Sociomateriality: Challenging the separation of technology, work and organization. *Academy of Management Annals*, 2(1), 433–474. [BG083]</w:t>
      </w:r>
    </w:p>
    <w:p>
      <w:pPr>
        <w:pStyle w:val="ListBullet"/>
      </w:pPr>
      <w:r>
        <w:t>Suchman, 2007. *Human-Machine Reconfigurations: Plans and Situated Actions* (2nd ed.). Cambridge University Press. [BG084]</w:t>
      </w:r>
    </w:p>
    <w:p>
      <w:pPr>
        <w:pStyle w:val="ListBullet"/>
      </w:pPr>
      <w:r>
        <w:t>Vandenberg and Lance, 2000. A review and synthesis of the measurement invariance literature: Suggestions, practices, and recommendations for organizational research. *Organizational Research Methods*, 3(1), 4–70. [BG085]</w:t>
      </w:r>
    </w:p>
    <w:p>
      <w:pPr>
        <w:pStyle w:val="ListBullet"/>
      </w:pPr>
      <w:r>
        <w:t>Salganik, 2018. *Bit by Bit: Social Research in the Digital Age*. Princeton University Press. [BG086]</w:t>
      </w:r>
    </w:p>
    <w:p>
      <w:pPr>
        <w:pStyle w:val="ListBullet"/>
      </w:pPr>
      <w:r>
        <w:t>Salganik, Lundberg, Kindel, et al., 2020. Measuring the predictability of life outcomes with a scientific mass collaboration. *Proceedings of the National Academy of Sciences*, 117(15), 8398–8403. [BG087]</w:t>
      </w:r>
    </w:p>
    <w:p>
      <w:pPr>
        <w:pStyle w:val="ListBullet"/>
      </w:pPr>
      <w:r>
        <w:t>Bechky, 2003. Object lessons: Workplace artifacts as representations of occupational jurisdiction. *American Journal of Sociology*, 109(3), 720–752. [BG088]</w:t>
      </w:r>
    </w:p>
    <w:p>
      <w:pPr>
        <w:pStyle w:val="ListBullet"/>
      </w:pPr>
      <w:r>
        <w:t>Gioia, Corley, and Hamilton, 2013. Seeking qualitative rigor in inductive research: Notes on the Gioia methodology. *Organizational Research Methods*, 16(1), 15–31. [BG089]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