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Across a source-backed repository of 36 AI-in-research cases (612 role × case codings), three procedural-validity roles — protocol-and-provenance architect, calibration architect, and accountability-and-labor allocator — co-occur as a </w:t>
      </w:r>
      <w:r>
        <w:rPr>
          <w:i/>
        </w:rPr>
        <w:t>durable</w:t>
      </w:r>
      <w:r>
        <w:t xml:space="preserve"> configuration in 12 of 36 cases, 1.52× the count expected under marginal independence. This </w:t>
      </w:r>
      <w:r>
        <w:rPr>
          <w:i/>
        </w:rPr>
        <w:t>epistemic-guardian</w:t>
      </w:r>
      <w:r>
        <w:t xml:space="preserve"> signature is the paper's central finding. Three throughput clusters shrink in 40 observations: routine first-pass screening, high-consensus coding on ground-truth-rich tasks (including code-package repair), and structural prose polishing. Debate about AI in research is still often framed as a contest between humans and models; that framing is too coarse for this evidence. Three contributions follow: (1) recasting the 36-case repository as a role-system dataset; (2) a comparative typology distinguishing six role statuses (robust, conditional, transformed, shrinking, split pressure, merge pressure) with behaviorally-anchored mutually-exclusive coding within each (role × case) cell; and (3) the worked application reported here. The paper's claim ceiling is set at comparative typology audit, not validated theory of automated science. Inter-coder reliability on a pre-specified subsample failed the κ ≥ 0.60 acceptance threshold (κ = 0.289), with the structural failure on the </w:t>
      </w:r>
      <w:r>
        <w:rPr>
          <w:i/>
        </w:rPr>
        <w:t>conditional</w:t>
      </w:r>
      <w:r>
        <w:t xml:space="preserve"> and </w:t>
      </w:r>
      <w:r>
        <w:rPr>
          <w:i/>
        </w:rPr>
        <w:t>transformed</w:t>
      </w:r>
      <w:r>
        <w:t xml:space="preserve"> anchors; we report it as a known limitation, name the v1.1 instruments that address it (configural-invariance test, marker-variable CMV bound, human second-coder pass), and treat cross-family and cross-capability counts as descriptive within the 36-case sample.</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The rubric extends ORM's measurement-tradition lineage at a level that lineage has not yet covered; the paper does not claim a stand-alone theoretical contribution in the Whetten (1989) sense.</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rubric performs configurational theorizing in the sense developed by Furnari et al. (2021): the typology's mutability operationalizes their </w:t>
      </w:r>
      <w:r>
        <w:rPr>
          <w:i/>
        </w:rPr>
        <w:t>scoping</w:t>
      </w:r>
      <w:r>
        <w:t xml:space="preserve">, </w:t>
      </w:r>
      <w:r>
        <w:rPr>
          <w:i/>
        </w:rPr>
        <w:t>linking</w:t>
      </w:r>
      <w:r>
        <w:t xml:space="preserve">, and </w:t>
      </w:r>
      <w:r>
        <w:rPr>
          <w:i/>
        </w:rPr>
        <w:t>naming</w:t>
      </w:r>
      <w:r>
        <w:t xml:space="preserve"> heuristics. The four v0.1 base statuses were not a priori categories: </w:t>
      </w:r>
      <w:r>
        <w:rPr>
          <w:i/>
        </w:rPr>
        <w:t>robust</w:t>
      </w:r>
      <w:r>
        <w:t xml:space="preserve"> and </w:t>
      </w:r>
      <w:r>
        <w:rPr>
          <w:i/>
        </w:rPr>
        <w:t>shrinking</w:t>
      </w:r>
      <w:r>
        <w:t xml:space="preserve"> surfaced in the first read-through of Cases 1–2 as the polar anchors the case-text language itself supplied; </w:t>
      </w:r>
      <w:r>
        <w:rPr>
          <w:i/>
        </w:rPr>
        <w:t>conditional</w:t>
      </w:r>
      <w:r>
        <w:t xml:space="preserve"> and </w:t>
      </w:r>
      <w:r>
        <w:rPr>
          <w:i/>
        </w:rPr>
        <w:t>transformed</w:t>
      </w:r>
      <w:r>
        <w:t xml:space="preserve"> were filled in by constant comparison across the next six cases. The rubric grew across four versions: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v0.4 tightened the conditional-vs-transformed tie-breaker.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The audit's load-bearing tradition is </w:t>
      </w:r>
      <w:r>
        <w:rPr>
          <w:i/>
        </w:rPr>
        <w:t>content analysis in the Krippendorff sense</w:t>
      </w:r>
      <w:r>
        <w:t xml:space="preserve">, augmented by case-based theorizing (Eisenhardt, 1989) and typology-as-theory-building (Doty &amp; Glick, 1994).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V values in §6 are read against the 259-cell observable-and-coded denominator. The relationship between Table 1's anchors and the status assignment is </w:t>
      </w:r>
      <w:r>
        <w:rPr>
          <w:i/>
        </w:rPr>
        <w:t>formative</w:t>
      </w:r>
      <w:r>
        <w:t xml:space="preserve"> (Edwards &amp; Bagozzi, 2000): the anchors constitute the status by definition rather than reflectively measuring a latent state.</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Exclusion (i) is theoretically derived; (ii) and (iii) are empirically observed; (iv) the rubric was developed on cases from a delimited set of occupational communities, and cross-occupation aggregation presupposes occupational invariance the audit has not established (the v1.1 occupational-coding extension is the appropriate instrument).</w:t>
      </w:r>
    </w:p>
    <w:p>
      <w:r>
        <w:t>The four-case pilot also served as coder-development: the first coder re-coded Cases 1 and 2 under v0.4 to verify earlier codings remained stable; full-corpus stability is a v1.2 commitment.</w:t>
      </w:r>
    </w:p>
    <w:p>
      <w:r>
        <w:t>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w:t>
      </w:r>
    </w:p>
    <w:p>
      <w:r>
        <w:t>The audit codes at the activity-level role, jointly across the individual and team performer level; the v1.1 within-case extension flagged in §6 separates the two.</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the </w:t>
      </w:r>
      <w:r>
        <w:rPr>
          <w:i/>
        </w:rPr>
        <w:t>constitutive</w:t>
      </w:r>
      <w:r>
        <w:t xml:space="preserve"> reading of </w:t>
      </w:r>
      <w:r>
        <w:rPr>
          <w:i/>
        </w:rPr>
        <w:t>why</w:t>
      </w:r>
      <w:r>
        <w:t xml:space="preserve"> procedural roles are durable: procedural roles are individuated by the rubric's anchors </w:t>
      </w:r>
      <w:r>
        <w:rPr>
          <w:i/>
        </w:rPr>
        <w:t>as the role-cells whose performance is treated by case authors as load-bearing for inferential validity</w:t>
      </w:r>
      <w:r>
        <w:t>, and their durability under AI embedding is therefore a definitional consequence of how the construct is operationalized rather than a causal effect of procedural validity (Whetten, 1989, on the distinction between causal and constitutive theoretical claims). The empirically open question — whether case authors' load-bearingness judgments track an external validity standard or merely conventional disciplinary practice — is left to the v1.1 within-case coding extension.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The 1.52× lift confounds substantive role-attachment with case-text procedural-prose density (cases with more procedural prose register more procedural-robust codings; Williams, Hartman, &amp; Cavazotte, 2010), and is also conditioned on the visibility filter (cases visible enough to publish are partly cases where the procedural role was robust enough to produce a publishable workflow). Both confounds bias the lift upward; v1.1 marker-variable correction is the appropriate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A coordination-architecture reading is consistent with the lift but is </w:t>
      </w:r>
      <w:r>
        <w:rPr>
          <w:i/>
        </w:rPr>
        <w:t>conditional</w:t>
      </w:r>
      <w:r>
        <w:t xml:space="preserve"> on the rubric's anchors tracking features of practice that exist independent of the rubric (the v1.1 within-case extension is the test): if so, splitting the three procedural roles across separate coordination structures would create the provenance-vs-accountability merge pressure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are consistent with mechanisms catalogued in the labor-economics literature on automation, though the audit codes only the realized shape and does not adjudicate among the underlying mechanisms. </w:t>
      </w:r>
      <w:r>
        <w:rPr>
          <w:i/>
        </w:rPr>
        <w:t>Deskilling</w:t>
      </w:r>
      <w:r>
        <w:t xml:space="preserve"> — the role's content is simplified and the skill demand on the human contracts — is consistent with the routinization-pressure mechanism in Autor (2015) and the lower-skill-demand pole of the automation-augmentation paradox (Raisch &amp; Krakowski, 2021), and fits the Bleier (n.d.) reproducibility-repair pattern. </w:t>
      </w:r>
      <w:r>
        <w:rPr>
          <w:i/>
        </w:rPr>
        <w:t>Delegation</w:t>
      </w:r>
      <w:r>
        <w:t xml:space="preserve"> — the task is reassigned to a non-human performer with humans retained for exception handling — is consistent with the substitution mechanism Frey and Osborne (2017) catalogue across occupational tasks and Acemoglu and Restrepo (2020) document for industrial robots, and fits the Tornberg (2025) objective-coding pattern. </w:t>
      </w:r>
      <w:r>
        <w:rPr>
          <w:i/>
        </w:rPr>
        <w:t>Boundary redefinition</w:t>
      </w:r>
      <w:r>
        <w:t xml:space="preserve"> — the task cluster is excised from the human role altogether and the role itself narrows — is consistent with what Brynjolfsson and Mitchell (2017) describe as task-level automation reshaping occupational composition, and the structural-prose-polishing pattern documented by Yin (n.d.) and Cox (n.d.) is the manuscript's role-level analog.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w:t>
      </w:r>
      <w:r>
        <w:rPr>
          <w:b/>
        </w:rPr>
        <w:t>pooled Cohen's κ = 0.289, 95% bootstrap CI [0.147, 0.439]</w:t>
      </w:r>
      <w:r>
        <w:t xml:space="preserve"> (B = 2,000; seed 20260423); Krippendorff's α on the same data is 0.278 (7-cat) / 0.298 (8-cat). The result </w:t>
      </w:r>
      <w:r>
        <w:rPr>
          <w:b/>
        </w:rPr>
        <w:t>fails</w:t>
      </w:r>
      <w:r>
        <w:t xml:space="preserve">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§3.0 case prototypes amplifies the gap on transition-coded statuses; a human second-coder pass with calibration sessions on the §3.0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Table 1's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The </w:t>
      </w:r>
      <w:r>
        <w:rPr>
          <w:i/>
        </w:rPr>
        <w:t>conditional</w:t>
      </w:r>
      <w:r>
        <w:t xml:space="preserve"> status (92 of 612 rows) is operationally undifferentiated and we leave it so for v1.0; a two-extreme robustness bracket reassigning all 92 conditional rows to either subtype yields sign-test </w:t>
      </w:r>
      <w:r>
        <w:rPr>
          <w:i/>
        </w:rPr>
        <w:t>p</w:t>
      </w:r>
      <w:r>
        <w:t xml:space="preserve"> = 0.004 or 0.021 — the verdict is robust to either prior.</w:t>
      </w:r>
    </w:p>
    <w:p>
      <w:r>
        <w:t>The v1.1 pre-analysis plan (filed at OSF prior to coding) commits a CFA marker-variable test, a configural-invariance test with two human coders and ≥50 cases per family, and strengthened 1st-order quotation discipline.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leaves the four cell-level tests significant; both case-level Monte-Carlos do not survive (</w:t>
      </w:r>
      <w:r>
        <w:rPr>
          <w:i/>
        </w:rPr>
        <w:t>p</w:t>
      </w:r>
      <w:r>
        <w:t xml:space="preserve"> = 0.58 and 0.33 raw and adjusted).</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Keohane, &amp; Verba,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generates three forward-looking propositions for theory-extension testing on the pre-specified 2027 hold-out: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w:t>
      </w:r>
      <w:r>
        <w:t xml:space="preserve"> ∨ </w:t>
      </w:r>
      <w:r>
        <w:rPr>
          <w:i/>
        </w:rPr>
        <w:t>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(one leading-indicator case, Hajishirzi 2026; the most speculative). Falsification thresholds per proposition, the 2027 sampling frame (target </w:t>
      </w:r>
      <w:r>
        <w:rPr>
          <w:i/>
        </w:rPr>
        <w:t>N</w:t>
      </w:r>
      <w:r>
        <w:t xml:space="preserve"> = 60), and the pre-committed analysis script </w:t>
      </w:r>
      <w:r>
        <w:rPr>
          <w:rFonts w:ascii="Consolas" w:hAnsi="Consolas"/>
          <w:sz w:val="21"/>
        </w:rPr>
        <w:t>scripts/section7_2027_holdout.py</w:t>
      </w:r>
      <w:r>
        <w:t xml:space="preserve"> are filed at the v1.0.0-ORM-submission release tag.</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Tables 5 and 6 translate the descriptive audit into recommendations for authors, reviewers, and institutions; they are the rubric's intended applied use, with implied coordination mechanisms offered as conjectures consistent with the pattern.</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Tables 5 and 6 together summarize the framework's applied use; the decision tree in Appendix E is the auditable protocol for assigning a status to a new (role × case) cell.</w:t>
      </w:r>
    </w:p>
    <w:p>
      <w:r>
        <w:t>The paired deliverable is the released 36-case database, codebook, rubric, coder protocol (Appendix E), and reviewer-audit checklist (Appendix F); readers are invited to apply, contest, and extend the coding.</w:t>
      </w:r>
    </w:p>
    <w:p>
      <w:r>
        <w:t>The role-system rubric advanced here sits within computational social science (Lazer et al., 2009, 2020) at a level the existing CSS literature has under-theorized: not the pipeline (Hickman et al., 2022) and not the model, but the activity-level role within which both pipeline and model are embedded. The disconfirmation apparatus is a parallel rubric application by independent research groups on a 2027–2030 sample, which would surface jurisdictional variation in the rubric itself; in its absence, this audit is a candidate framework rather than an established one.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Merton, 1957. The role-set: Problems in sociological theory. [BG018]</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Williams, Hartman, and Cavazotte, 2010. Method variance and marker variables: A review and comprehensive CFA marker technique. *Organizational Research Methods*, 13(3), 477–514. [BG102]</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Eisenhardt and Graebner, 2007. Theory building from cases: Opportunities and challenges. *Academy of Management Journal*, 50(1), 25–32. [BG106]</w:t>
      </w:r>
    </w:p>
    <w:p>
      <w:pPr>
        <w:pStyle w:val="ListBullet"/>
      </w:pPr>
      <w:r>
        <w:t>Faraj and Pachidi, 2021. Beyond Uberization: The co-constitution of technology and organizing. *Organization Theory*, 2(1), 1–14. [BG108]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