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Comparative Typology Audit of Role-System Change Under AI Embedding: Six-Status Coding of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candidate </w:t>
      </w:r>
      <w:r>
        <w:rPr>
          <w:i/>
        </w:rPr>
        <w:t>epistemic-guardian</w:t>
      </w:r>
      <w:r>
        <w:t xml:space="preserve"> signature; three throughput clusters shrink in 40 observations (routine first-pass screening, high-consensus coding on ground-truth-rich tasks, structural prose polishing). H3 is supported as a cell-level association (</w:t>
      </w:r>
      <w:r>
        <w:rPr>
          <w:i/>
        </w:rPr>
        <w:t>p</w:t>
      </w:r>
      <w:r>
        <w:t xml:space="preserve"> = 0.0002) but does not reach significance under the clustering-aware case-level null at </w:t>
      </w:r>
      <w:r>
        <w:rPr>
          <w:i/>
        </w:rPr>
        <w:t>N</w:t>
      </w:r>
      <w:r>
        <w:t xml:space="preserve"> = 36 (</w:t>
      </w:r>
      <w:r>
        <w:rPr>
          <w:i/>
        </w:rPr>
        <w:t>p</w:t>
      </w:r>
      <w:r>
        <w:t xml:space="preserve"> = 0.58). Inter-coder agreement was below the pre-committed κ ≥ 0.60 threshold; v1.1 instruments (configural-invariance test, marker-variable CMV bound, human second-coder pass) are pre-committed. We offer this as a comparative typology audit with a v1.0 rubric — anchored deductively to the automation-augmentation paradox and inductively to the specification operations the cases forced — and hope it serves as a catalyst for further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Before describing the audit, we clarify the rubric's paradigm location. The audit operates within the modernist measurement tradition of organizational research, in the construct-validity lineage. The rubric is constructed under both </w:t>
      </w:r>
      <w:r>
        <w:rPr>
          <w:i/>
        </w:rPr>
        <w:t>deductive</w:t>
      </w:r>
      <w:r>
        <w:t xml:space="preserve"> and </w:t>
      </w:r>
      <w:r>
        <w:rPr>
          <w:i/>
        </w:rPr>
        <w:t>inductive</w:t>
      </w:r>
      <w:r>
        <w:t xml:space="preserve"> forces: the four allocation states (robust → conditional → transformed → shrinking) are deductively anchored to the automation-augmentation paradox literature (Raisch &amp; Krakowski, 2021; Autor, 2015) on how human work is reorganized as machines are embedded in the workflow; the two specification operations (split pressure / merge pressure) emerged inductively through constant comparison across cases that the allocation continuum could not accommodate. The audit further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§6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et al., 2003; Siddaway et al.,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The seed pool was assembled from targeted searches of methodological venues plus forward and backward citation from four anchor papers (Törnberg, 2025; Keith, 2026; Larson, 2024; Kang, 2025), and supplemented with preprint-server queries for autonomy-heavy systems not yet peer-reviewed. A dropped-case list with exclusion reasons is released alongside the database.</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36 cases × 17 roles,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The rubric in Table 1 was developed under both deductive and inductive forces.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w:t>
      </w:r>
    </w:p>
    <w:p>
      <w:r>
        <w:rPr>
          <w:i/>
        </w:rPr>
        <w:t>Deductive anchor (allocation continuum).</w:t>
      </w:r>
      <w:r>
        <w:t xml:space="preserve"> The four allocation states — robust → conditional → transformed → shrinking — are deductively anchored to the </w:t>
      </w:r>
      <w:r>
        <w:rPr>
          <w:i/>
        </w:rPr>
        <w:t>automation-augmentation paradox</w:t>
      </w:r>
      <w:r>
        <w:t xml:space="preserve"> literature on how human work is reorganized when machines are embedded in the workflow (Raisch &amp; Krakowski, 2021; Autor, 2015). </w:t>
      </w:r>
      <w:r>
        <w:rPr>
          <w:i/>
        </w:rPr>
        <w:t>Robust</w:t>
      </w:r>
      <w:r>
        <w:t xml:space="preserve"> corresponds to the human-as-sole-performer pole (the augmentation-only end where AI substitution would degrade validity); </w:t>
      </w:r>
      <w:r>
        <w:rPr>
          <w:i/>
        </w:rPr>
        <w:t>conditional</w:t>
      </w:r>
      <w:r>
        <w:t xml:space="preserve"> to moderator-gated mixed performance (the contingent-augmentation middle); </w:t>
      </w:r>
      <w:r>
        <w:rPr>
          <w:i/>
        </w:rPr>
        <w:t>transformed</w:t>
      </w:r>
      <w:r>
        <w:t xml:space="preserve"> to content-redefinition with humans retained at the redefined task (the augmentation-with-content-shift register); and </w:t>
      </w:r>
      <w:r>
        <w:rPr>
          <w:i/>
        </w:rPr>
        <w:t>shrinking</w:t>
      </w:r>
      <w:r>
        <w:t xml:space="preserve"> to substitution with humans as exception-handlers (the automation-leaning pole). The four states are not a priori partitions of the dimension; they are the discrete points along the augmentation–automation continuum at which case-text language consistently changed.</w:t>
      </w:r>
    </w:p>
    <w:p>
      <w:r>
        <w:rPr>
          <w:i/>
        </w:rPr>
        <w:t>Inductive emergence (specification operations).</w:t>
      </w:r>
      <w:r>
        <w:t xml:space="preserve"> The two specification operations — </w:t>
      </w:r>
      <w:r>
        <w:rPr>
          <w:i/>
        </w:rPr>
        <w:t>split pressure</w:t>
      </w:r>
      <w:r>
        <w:t xml:space="preserve"> and </w:t>
      </w:r>
      <w:r>
        <w:rPr>
          <w:i/>
        </w:rPr>
        <w:t>merge pressure</w:t>
      </w:r>
      <w:r>
        <w:t xml:space="preserve"> — emerged from constant comparison across cases that the deductive continuum could not accommodate.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These operations revise the unit of analysis itself rather than the human-AI allocation within a fixed unit, and the typology-as-theory-building tradition treats this revisability as a productive feature (Doty &amp; Glick, 1994; Fiss, 2011; Delbridge &amp; Fiss, 2013; Cornelissen, 2017; Cornelissen et al., 2021). Furnari et al.'s (2021) configurational-theorizing heuristics — </w:t>
      </w:r>
      <w:r>
        <w:rPr>
          <w:i/>
        </w:rPr>
        <w:t>scoping</w:t>
      </w:r>
      <w:r>
        <w:t xml:space="preserve"> and </w:t>
      </w:r>
      <w:r>
        <w:rPr>
          <w:i/>
        </w:rPr>
        <w:t>linking</w:t>
      </w:r>
      <w:r>
        <w:t xml:space="preserve"> — operationalize split and merge pressure respectively at the role-cell level.</w:t>
      </w:r>
    </w:p>
    <w:p>
      <w:r>
        <w:rPr>
          <w:i/>
        </w:rPr>
        <w:t>Operational pragmatics.</w:t>
      </w:r>
      <w:r>
        <w:t xml:space="preserve"> Six is the smallest scheme that lets the four allocation states be coded separately (collapsing them loses the deductively anchored continuum) and lets segmentation and consolidation be coded as distinct specification operations (collapsing them loses the inductively emergent finding). Adding a seventh status (e.g., role </w:t>
      </w:r>
      <w:r>
        <w:rPr>
          <w:i/>
        </w:rPr>
        <w:t>creation</w:t>
      </w:r>
      <w:r>
        <w:t xml:space="preserve"> or </w:t>
      </w:r>
      <w:r>
        <w:rPr>
          <w:i/>
        </w:rPr>
        <w:t>destruction</w:t>
      </w:r>
      <w:r>
        <w:t>) would either duplicate the allocation states or push reliability further down; the existing six already register substantial per-status κ disagreement on transition-coded categories (§6.2).</w:t>
      </w:r>
    </w:p>
    <w:p>
      <w:r>
        <w:rPr>
          <w:i/>
        </w:rPr>
        <w:t>Version history.</w:t>
      </w:r>
      <w:r>
        <w:t xml:space="preserve"> v0.1 carried the four allocation states; v0.2 added </w:t>
      </w:r>
      <w:r>
        <w:rPr>
          <w:i/>
        </w:rPr>
        <w:t>split pressure</w:t>
      </w:r>
      <w:r>
        <w:t xml:space="preserve">; v0.3 added </w:t>
      </w:r>
      <w:r>
        <w:rPr>
          <w:i/>
        </w:rPr>
        <w:t>merge pressure</w:t>
      </w:r>
      <w:r>
        <w:t xml:space="preserve">; v0.4 tightened the conditional-vs-transformed tie-breaker after Appendix B's reliability pass.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anchors constitute the status by definition.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et al.,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Törnberg,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Procedure is not residual to the task; it constitutes the task.</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That this signature concentrates on three roles (procedure, calibration, accountability) — rather than dispersing — is the substantive finding the audit licenses. The three durable roles together discharge what the HRO literature (Weick &amp; Sutcliffe, 2007) describes as </w:t>
      </w:r>
      <w:r>
        <w:rPr>
          <w:i/>
        </w:rPr>
        <w:t>mindful organizing</w:t>
      </w:r>
      <w:r>
        <w:t>: preoccupation with failure (calibration), reluctance to simplify (provenance), sensitivity to operations (procedure), commitment to resilience and deference to expertise (accountability).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procedural-prose density (cases that write more about procedure register more procedural-robust codings; Williams et al., 2010).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The three jurisdictional shapes of shrinkage below are derived from the same automation-augmentation paradox literature (Raisch &amp; Krakowski, 2021; Autor, 2015) that deductively anchors the allocation continuum in §2.3 — the </w:t>
      </w:r>
      <w:r>
        <w:rPr>
          <w:i/>
        </w:rPr>
        <w:t>shrinking</w:t>
      </w:r>
      <w:r>
        <w:t xml:space="preserve"> end of that continuum is where automation predominates over augmentation, and three distinct shrinkage shapes correspond to three distinct automation mechanisms catalogued in the literature. The audit codes the realized shape and does not adjudicate among the underlying mechanisms. </w:t>
      </w:r>
      <w:r>
        <w:rPr>
          <w:i/>
        </w:rPr>
        <w:t>Deskilling</w:t>
      </w:r>
      <w:r>
        <w:t xml:space="preserve"> — the role's content is simplified and the skill demand on the human contracts — corresponds to Autor's (2015) routinization-pressure mechanism within the augmentation register (Raisch &amp; Krakowski, 2021), and fits the Bleier (n.d.) reproducibility-repair pattern. </w:t>
      </w:r>
      <w:r>
        <w:rPr>
          <w:i/>
        </w:rPr>
        <w:t>Delegation</w:t>
      </w:r>
      <w:r>
        <w:t xml:space="preserve"> — the task is reassigned to a non-human performer with humans retained for exception handling — corresponds to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corresponds to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routine first-pass screener as shrinking in 13 cases, routine coder on high-consensus ground-truth-rich tasks in 15, and structural prose polisher in 12 — 40 shrinking observations concentrated in 11 of 36 cases; 25 cases carry zero shrinking codings, the asymmetry §3 turns on. What unites these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clearing Ragin's (2008) 0.75 minimum but below the 0.90 strong-sufficiency threshold — and coverage is 0.500. The 0.500 coverage implies a second equifinal path: 9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~0.875 joint coverage; we report this as descriptive, not Boolean-minimized.</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 xml:space="preserve">The two specification operations — split pressure and merge pressure — emerged inductively from the audit (§2.3) when the deductively anchored allocation continuum could not accommodate the observed pattern. They operationalize Furnari et al.'s (2021) configurational-theorizing heuristics at the role-cell level: split pressure operates as the </w:t>
      </w:r>
      <w:r>
        <w:rPr>
          <w:i/>
        </w:rPr>
        <w:t>scoping</w:t>
      </w:r>
      <w:r>
        <w:t xml:space="preserve"> heuristic (re-determining which sub-activities belong inside a role-cell and which belong outside), and merge pressure operates as </w:t>
      </w:r>
      <w:r>
        <w:rPr>
          <w:i/>
        </w:rPr>
        <w:t>linking</w:t>
      </w:r>
      <w:r>
        <w:t xml:space="preserve"> (recombining two formerly distinct role-cells into a single configurational element). This section reports the cases that forced each operation. 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The split-pressure pattern is therefore not a weakness in the typology but the inductive finding the §2.3 framework is designed to register: it surfaces the </w:t>
      </w:r>
      <w:r>
        <w:rPr>
          <w:i/>
        </w:rPr>
        <w:t>scoping</w:t>
      </w:r>
      <w:r>
        <w:t xml:space="preserve"> operations the audit could not deductively anticipate.</w:t>
      </w:r>
    </w:p>
    <w:p>
      <w:r>
        <w:t xml:space="preserve">Five cases (25 and 26 Project APE, 32 The AI Scientist, 33 Deep Research, 34 AgentSociety) describe research systems built around AI capability from the outset. The rubric's </w:t>
      </w:r>
      <w:r>
        <w:rPr>
          <w:i/>
        </w:rPr>
        <w:t>transformed</w:t>
      </w:r>
      <w:r>
        <w:t xml:space="preserve"> and </w:t>
      </w:r>
      <w:r>
        <w:rPr>
          <w:i/>
        </w:rPr>
        <w:t>shrinking</w:t>
      </w:r>
      <w:r>
        <w:t xml:space="preserve"> anchors are coded against a hypothetical pre-AI decomposition; the affected cells are tagged and a sensitivity analysis excluding these cases is reported in §6 (Table 4). For research configurations that were never assembled in a pre-AI form, the rubric codes a counterfactual decomposition rather than an observed transition (Orlikowski, 2007; Suchman, 2007); the rubric is appropriate as a </w:t>
      </w:r>
      <w:r>
        <w:rPr>
          <w:i/>
        </w:rPr>
        <w:t>separability-presupposing</w:t>
      </w:r>
      <w:r>
        <w:t xml:space="preserve"> audit instrument across the 36 cases and we do not claim it adjudicates fully co-constituted research systems.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The v1.1 pre-analysis plan filed at OSF commits a CFA marker-variable test, a configural-invariance test with two human coders and ≥50 cases per family, and strengthened 1st-order quotation discipline.</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32 cases yields 13 positive differences out of 15 defined roles (one role drops because its </w:t>
      </w:r>
      <w:r>
        <w:rPr>
          <w:i/>
        </w:rPr>
        <w:t>V</w:t>
      </w:r>
      <w:r>
        <w:t xml:space="preserve"> is undefined on the 32-case subset; two-sided binomial </w:t>
      </w:r>
      <w:r>
        <w:rPr>
          <w:i/>
        </w:rPr>
        <w:t>p</w:t>
      </w:r>
      <w:r>
        <w:t xml:space="preserve"> = 0.007), </w:t>
      </w:r>
      <w:r>
        <w:rPr>
          <w:i/>
        </w:rPr>
        <w:t>V</w:t>
      </w:r>
      <w:r>
        <w:t xml:space="preserve">_family = 0.253, </w:t>
      </w:r>
      <w:r>
        <w:rPr>
          <w:i/>
        </w:rPr>
        <w:t>V</w:t>
      </w:r>
      <w:r>
        <w:t xml:space="preserve">_capability = 0.208, and </w:t>
      </w:r>
      <w:r>
        <w:rPr>
          <w:i/>
        </w:rPr>
        <w:t>V</w:t>
      </w:r>
      <w:r>
        <w:t xml:space="preserve"> gap = +0.045 — all consistent in direction with the full-sample values and still statistically significant. The pilot cases contribute to specific role counts (e.g., removing Törnberg drops the routine-coder shrinking count from 15 to 13) but do not drive the H3 verdict.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w:t>
      </w:r>
      <w:r>
        <w:t xml:space="preserve"> Status distribution by case family.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w:t>
      </w:r>
      <w:r>
        <w:t xml:space="preserve"> Status distribution by primary AI capability.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i/>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i/>
        </w:rPr>
        <w:t>case-cluster bootstrap</w:t>
      </w:r>
      <w:r>
        <w:t xml:space="preserve"> (B = 2,000, seed 20260425, resampling cases with replacement), which yields V_family 95% CI [0.261, 0.430], V_capability 95% CI [0.193, 0.451], and V_gap 95%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AI capability (raw 0.33, adj. 0.66); (6) on case family (raw 0.58, adj. 0.66).</w:t>
      </w:r>
    </w:p>
    <w:p>
      <w:r>
        <w:t xml:space="preserve">H3 is therefore </w:t>
      </w:r>
      <w:r>
        <w:rPr>
          <w:i/>
        </w:rPr>
        <w:t>supported as a cell-level repository pattern but not significant under the clustering-aware case-level null at N</w:t>
      </w:r>
      <w:r>
        <w:t xml:space="preserve"> = 36 </w:t>
      </w:r>
      <w:r>
        <w:rPr>
          <w:i/>
        </w:rPr>
        <w:t>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sort onto two aggregate dimensions of distinct theoretical provenance (§2.3). The </w:t>
      </w:r>
      <w:r>
        <w:rPr>
          <w:i/>
        </w:rPr>
        <w:t>allocation</w:t>
      </w:r>
      <w:r>
        <w:t xml:space="preserve"> axis (robust → conditional → transformed → shrinking) is deductively anchored to the automation-augmentation paradox (Raisch &amp; Krakowski, 2021; Autor, 2015) and tracks how human performance yields scope, content, then volume. The </w:t>
      </w:r>
      <w:r>
        <w:rPr>
          <w:i/>
        </w:rPr>
        <w:t>specification</w:t>
      </w:r>
      <w:r>
        <w:t xml:space="preserve"> axis (split and merge pressure) emerged inductively from constant comparison across cases (Gioia et al., 2013) and revises the unit of analysis itself.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i/>
        </w:rPr>
        <w:t>P1.</w:t>
      </w:r>
      <w:r>
        <w:t xml:space="preserve"> procedural roles co-occur as a single epistemic-guardian configuration; </w:t>
      </w:r>
      <w:r>
        <w:rPr>
          <w:i/>
        </w:rPr>
        <w:t>P2.</w:t>
      </w:r>
      <w:r>
        <w:t xml:space="preserve"> shrinkage clusters where </w:t>
      </w:r>
      <w:r>
        <w:rPr>
          <w:i/>
        </w:rPr>
        <w:t>public-ground-truth</w:t>
      </w:r>
      <w:r>
        <w:t xml:space="preserve"> ∨ </w:t>
      </w:r>
      <w:r>
        <w:rPr>
          <w:i/>
        </w:rPr>
        <w:t>post-hoc-auditability</w:t>
      </w:r>
      <w:r>
        <w:t xml:space="preserve"> holds, not where AI capability is highest; </w:t>
      </w:r>
      <w:r>
        <w:rPr>
          <w:i/>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current repository (denominator = 612 cells throughout).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56 / 612 cells robust (15 of 36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30 / 612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40 / 612 cells shrinking (concentrated in 11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39 / 612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612 cells (both on Case 10)</w:t>
            </w:r>
          </w:p>
        </w:tc>
      </w:tr>
    </w:tbl>
    <w:p/>
    <w:p>
      <w:r>
        <w:t xml:space="preserve">The contribution is the comparative typology audit itself — the worked application of a six-status rubric to 36 source-backed cases of AI in research, anchored deductively to the automation-augmentation paradox and inductively to the specification operations the cases forced. The audit yields three released artifacts that operationalize the framework for downstream use: (1) the v1.0 rubric — a behaviorally-anchored instrument for coding role-status change at the (role × case) cell level; (2) the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audit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output. We hope this audit serves as a catalyst for instrument-grade comparative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w:t>
      </w:r>
      <w:r>
        <w:rPr>
          <w:i/>
        </w:rPr>
        <w:t>V</w:t>
      </w:r>
      <w:r>
        <w:t xml:space="preserve">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w:t>
      </w:r>
      <w:r>
        <w:rPr>
          <w:i/>
        </w:rPr>
        <w:t>V</w:t>
      </w:r>
      <w:r>
        <w:t xml:space="preserve"> CIs (</w:t>
      </w:r>
      <w:r>
        <w:rPr>
          <w:i/>
        </w:rPr>
        <w:t>B</w:t>
      </w:r>
      <w:r>
        <w:t xml:space="preserve"> = 2,000, seed 20260425), per-role paired Wilcoxon </w:t>
      </w:r>
      <w:r>
        <w:rPr>
          <w:i/>
        </w:rPr>
        <w:t>W</w:t>
      </w:r>
      <w:r>
        <w:t xml:space="preserve"> = 7 / </w:t>
      </w:r>
      <w:r>
        <w:rPr>
          <w:i/>
        </w:rPr>
        <w:t>p</w:t>
      </w:r>
      <w:r>
        <w:t xml:space="preserve"> = 0.0006 and the sign-test companion </w:t>
      </w:r>
      <w:r>
        <w:rPr>
          <w:i/>
        </w:rPr>
        <w:t>p</w:t>
      </w:r>
      <w:r>
        <w:t xml:space="preserve"> = 0.004, </w:t>
      </w:r>
      <w:r>
        <w:rPr>
          <w:i/>
        </w:rPr>
        <w:t>V</w:t>
      </w:r>
      <w:r>
        <w:t xml:space="preserve">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Ragin, C. C. (2008). </w:t>
      </w:r>
      <w:r>
        <w:rPr>
          <w:i/>
        </w:rPr>
        <w:t>Redesigning social inquiry: Fuzzy sets and beyond</w:t>
      </w:r>
      <w:r>
        <w:t>. University of Chicago Press.</w:t>
      </w:r>
    </w:p>
    <w:p>
      <w:r>
        <w:t xml:space="preserve">Raisch, S., &amp; Krakowski, S. (2021). Artificial intelligence and management: The automation-augmentation paradox. </w:t>
      </w:r>
      <w:r>
        <w:rPr>
          <w:i/>
        </w:rPr>
        <w:t>Academy of Management Review</w:t>
      </w:r>
      <w:r>
        <w:t xml:space="preserve">, </w:t>
      </w:r>
      <w:r>
        <w:rPr>
          <w:i/>
        </w:rPr>
        <w:t>46</w:t>
      </w:r>
      <w:r>
        <w:t>(1), 192–210.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