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Across a source-backed repository of 36 AI-in-research cases (612 role × case codings), three procedural-validity roles — protocol-and-provenance architect, calibration architect, and accountability-and-labor allocator — co-occur as a </w:t>
      </w:r>
      <w:r>
        <w:rPr>
          <w:i/>
        </w:rPr>
        <w:t>durable</w:t>
      </w:r>
      <w:r>
        <w:t xml:space="preserve"> configuration in 12 of 36 cases, 1.52× the count expected under marginal independence. This </w:t>
      </w:r>
      <w:r>
        <w:rPr>
          <w:i/>
        </w:rPr>
        <w:t>epistemic-guardian</w:t>
      </w:r>
      <w:r>
        <w:t xml:space="preserve"> signature is the paper's central finding. Three throughput clusters shrink in 40 observations: routine first-pass screening, high-consensus coding on ground-truth-rich tasks (including code-package repair), and structural prose polishing. Debate about AI in research is still often framed as a contest between humans and models; that framing is too coarse for this evidence. Three contributions follow: (1) recasting the 36-case repository as a role-system dataset; (2) a comparative typology distinguishing six role statuses (robust, conditional, transformed, shrinking, split pressure, merge pressure) with behaviorally-anchored mutually-exclusive coding within each (role × case) cell; and (3) the worked application reported here. The paper's claim ceiling is set at comparative typology audit, not validated theory of automated science. Inter-coder reliability on a pre-specified subsample failed the κ ≥ 0.60 acceptance threshold (κ = 0.289), with the structural failure on the </w:t>
      </w:r>
      <w:r>
        <w:rPr>
          <w:i/>
        </w:rPr>
        <w:t>conditional</w:t>
      </w:r>
      <w:r>
        <w:t xml:space="preserve"> and </w:t>
      </w:r>
      <w:r>
        <w:rPr>
          <w:i/>
        </w:rPr>
        <w:t>transformed</w:t>
      </w:r>
      <w:r>
        <w:t xml:space="preserve"> anchors; we report it as a known limitation, name the v1.1 instruments that address it (configural-invariance test, marker-variable CMV bound, human second-coder pass), and treat cross-family and cross-capability counts as descriptive within the 36-case sample.</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Eyal &amp; Pok, 2015; Anteby et al., 2016) similarly directs attention away from job titles and toward the boundary work through which expertise is produced, treating </w:t>
      </w:r>
      <w:r>
        <w:rPr>
          <w:i/>
        </w:rPr>
        <w:t>expertise</w:t>
      </w:r>
      <w:r>
        <w:t xml:space="preserve"> rather than </w:t>
      </w:r>
      <w:r>
        <w:rPr>
          <w:i/>
        </w:rPr>
        <w:t>the profession</w:t>
      </w:r>
      <w:r>
        <w:t xml:space="preserve"> as the unit at which jurisdictional change is most legibly observed. From classical role theory, it borrows the relational specification of role bundles (Merton, 1957; Biddle, 1986) but operationalizes them as behaviorally observable activities rather than as normative expectations attached to positions; the recent role-theory synthesis treats roles as structured, partially overlapping bundles within an intrapersonal network (Ramarajan, 2014), an idea the rubric extends from the human person to the activity-level role under AI embedding.</w:t>
      </w:r>
    </w:p>
    <w:p>
      <w:r>
        <w:t xml:space="preserve">To distinguish the rubric's central constructs from their closest predecessors, following Suddaby's (2010) construct-clarity criteria: </w:t>
      </w:r>
      <w:r>
        <w:rPr>
          <w:i/>
        </w:rPr>
        <w:t>status</w:t>
      </w:r>
      <w:r>
        <w:t xml:space="preserve"> differs from Abbott's (1988) jurisdictional position by operating at the activity-level role-cell rather than the occupational profession; </w:t>
      </w:r>
      <w:r>
        <w:rPr>
          <w:i/>
        </w:rPr>
        <w:t>robust</w:t>
      </w:r>
      <w:r>
        <w:t xml:space="preserve"> differs from Tilcsik's (2010) occupational closure by indexing author-stated load-bearingness rather than occupational entry control; </w:t>
      </w:r>
      <w:r>
        <w:rPr>
          <w:i/>
        </w:rPr>
        <w:t>transformed</w:t>
      </w:r>
      <w:r>
        <w:t xml:space="preserve"> differs from Barley's (1986) occupational change by requiring a verb-swap or new-sub-task anchor at the role-cell level rather than role-system reorganization; </w:t>
      </w:r>
      <w:r>
        <w:rPr>
          <w:i/>
        </w:rPr>
        <w:t>split pressure</w:t>
      </w:r>
      <w:r>
        <w:t xml:space="preserve"> differs from Anteby, Chan, and DiBenigno's (2016) boundary work by registering rubric-revision pressure on the audit instrument (the typology, not the role-bearer, requires revision) rather than identity-work performed by occupational members. We treat these as distinct constructs that share descent from but do not duplicate their respective priors.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We declare the paper's primary contribution as </w:t>
      </w:r>
      <w:r>
        <w:rPr>
          <w:i/>
        </w:rPr>
        <w:t>methodological</w:t>
      </w:r>
      <w:r>
        <w:t xml:space="preserve"> — a behaviorally-anchored rubric for coding role-status change at the (role × case) cell level — and its secondary contribution as </w:t>
      </w:r>
      <w:r>
        <w:rPr>
          <w:i/>
        </w:rPr>
        <w:t>integrative-theoretical</w:t>
      </w:r>
      <w:r>
        <w:t>: it rescales Abbott's jurisdictional mechanisms from the occupational profession to the activity-level role and operationalizes Furnari et al.'s scoping/linking/naming heuristics as split, merge, and aggregate-axis pressures. We do not claim a stand-alone theoretical contribution in the Whetten (1989) sense, because the underlying mechanism producing the durable-roles pattern is not independently established by the audit.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seed strategy concentrates on AI-in-research projects that are visibly identified as such — methodological-venue search and forward/backward citation from anchor papers preferentially surface high-visibility cases — and we acknowledge a </w:t>
      </w:r>
      <w:r>
        <w:rPr>
          <w:i/>
        </w:rPr>
        <w:t>visibility-bias</w:t>
      </w:r>
      <w:r>
        <w:t xml:space="preserve"> limitation that operates at the case-selection layer separately from publication bias on individual cases (Bail, 2024); null-result and quietly-deployed AI-in-research projects are systematically under-represented. The recording unit for coding is the (role × case) cell, the context unit is the full case file plus its registered secondary sources, and the encounter sequence directs the coder to read the case's abstract and methods before encountering the evidence extracts (Krippendorff, 2019; Hruschka et al., 2004 on recording-unit discipline).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four v0.1 base statuses were not themselves a priori categories. </w:t>
      </w:r>
      <w:r>
        <w:rPr>
          <w:i/>
        </w:rPr>
        <w:t>Robust</w:t>
      </w:r>
      <w:r>
        <w:t xml:space="preserve"> and </w:t>
      </w:r>
      <w:r>
        <w:rPr>
          <w:i/>
        </w:rPr>
        <w:t>shrinking</w:t>
      </w:r>
      <w:r>
        <w:t xml:space="preserve"> surfaced in the first read-through of Cases 1–2 as the polar anchors the case-text language itself supplied (authors' own "load-bearing" vs. "outperforms human coders" descriptions). </w:t>
      </w:r>
      <w:r>
        <w:rPr>
          <w:i/>
        </w:rPr>
        <w:t>Conditional</w:t>
      </w:r>
      <w:r>
        <w:t xml:space="preserve"> and </w:t>
      </w:r>
      <w:r>
        <w:rPr>
          <w:i/>
        </w:rPr>
        <w:t>transformed</w:t>
      </w:r>
      <w:r>
        <w:t xml:space="preserve"> were the residual codes for cells that fit neither anchor; their content was filled in by constant comparison across the next six cases before v0.1 was frozen, in the grounded-theorizing posture Locke (2007) describes as the dual-thinking-modes tension between rational analytic control and irrational free-play. The pilot then stress-tested anchors that had already taken provisional shape from the data. The rubric grew across four numbered versions: v0.1 (pre-pilot) carried four statuses (robust, conditional, transformed, shrinking); </w:t>
      </w:r>
      <w:r>
        <w:rPr>
          <w:i/>
        </w:rPr>
        <w:t>split pressure</w:t>
      </w:r>
      <w:r>
        <w:t xml:space="preserve"> was added at v0.2 after Case 3 (Gligorić) showed that </w:t>
      </w:r>
      <w:r>
        <w:rPr>
          <w:i/>
        </w:rPr>
        <w:t>construct and perspective boundary setter</w:t>
      </w:r>
      <w:r>
        <w:t xml:space="preserve"> conflated diagnostic and sampling sub-activities; </w:t>
      </w:r>
      <w:r>
        <w:rPr>
          <w:i/>
        </w:rPr>
        <w:t>merge pressure</w:t>
      </w:r>
      <w:r>
        <w:t xml:space="preserve"> was added at v0.3 after Case 10 (Hajishirzi) showed provenance and accountability inseparable in retrieval-augmented synthesis; the conditional-vs-transformed tie-breaker was tightened at v0.4 in response to the Appendix B κ pass.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rPr>
          <w:b/>
        </w:rPr>
        <w:t>Qualitative tradition and theorizing strategy.</w:t>
      </w:r>
      <w:r>
        <w:t xml:space="preserve"> The audit's load-bearing qualitative tradition is </w:t>
      </w:r>
      <w:r>
        <w:rPr>
          <w:i/>
        </w:rPr>
        <w:t>content analysis in the Krippendorff tradition</w:t>
      </w:r>
      <w:r>
        <w:t xml:space="preserve">, augmented by </w:t>
      </w:r>
      <w:r>
        <w:rPr>
          <w:i/>
        </w:rPr>
        <w:t>case-based theorizing</w:t>
      </w:r>
      <w:r>
        <w:t xml:space="preserve"> (Eisenhardt, 1989, 2021) for the rubric-development pilot and </w:t>
      </w:r>
      <w:r>
        <w:rPr>
          <w:i/>
        </w:rPr>
        <w:t>typology-as-theory-building</w:t>
      </w:r>
      <w:r>
        <w:t xml:space="preserve"> (Doty &amp; Glick, 1994; Fiss, 2011) for the framework's status. The audit's </w:t>
      </w:r>
      <w:r>
        <w:rPr>
          <w:i/>
        </w:rPr>
        <w:t>theorizing strategy</w:t>
      </w:r>
      <w:r>
        <w:t xml:space="preserve"> in Langley's (1999) sense is </w:t>
      </w:r>
      <w:r>
        <w:rPr>
          <w:b/>
        </w:rPr>
        <w:t>synthetic</w:t>
      </w:r>
      <w:r>
        <w:t xml:space="preserve">: a quantification strategy (612 role-coded cells, configurational lift, the §6 confirmatory test family) combined with an alternate-templates strategy (the six statuses as mutually-exclusive templates discriminated by Table 1's anchors) and a light narrative strategy (the per-case vignettes in §3.0, §4, §5). Quantification and alternate-templates do not presuppose longitudinal data and are strategy-data-fit-compatible with the 36 single-snapshot cases; the </w:t>
      </w:r>
      <w:r>
        <w:rPr>
          <w:i/>
        </w:rPr>
        <w:t>transformed</w:t>
      </w:r>
      <w:r>
        <w:t xml:space="preserve"> anchor's before/after language is scope-conditioned to author-stated retrospective verb-swap or new-sub-task language quotable from the case file, not to observed longitudinal transition.</w:t>
      </w:r>
    </w:p>
    <w:p>
      <w:r>
        <w:rPr>
          <w:b/>
        </w:rPr>
        <w:t>Construct form.</w:t>
      </w:r>
      <w:r>
        <w:t xml:space="preserve"> The six statuses constitute a </w:t>
      </w:r>
      <w:r>
        <w:rPr>
          <w:i/>
        </w:rPr>
        <w:t>categorical typology</w:t>
      </w:r>
      <w:r>
        <w:t xml:space="preserve"> in the Doty &amp; Glick (1994) sense: each (role × case) cell is assigned to one of the six kinds, and counts across kinds presuppose that one robust coding is qualitatively the same kind as another robust coding. The "allocation axis" label (robust → conditional → transformed → shrinking) is interpretive scaffolding for the four allocation-related kinds, not an underlying continuum the kinds are degrees on; we adopt this categorical reading as load-bearing for §6's count-based inferences and flag the configurational lift in §3.1 (1.52× durable-on-all-three) as </w:t>
      </w:r>
      <w:r>
        <w:rPr>
          <w:i/>
        </w:rPr>
        <w:t>profile-construct</w:t>
      </w:r>
      <w:r>
        <w:t xml:space="preserve"> evidence (Edwards, 2001) on a derived binary collapse rather than as categorical-typology evidence within the six-status partition. </w:t>
      </w:r>
      <w:r>
        <w:rPr>
          <w:b/>
        </w:rPr>
        <w:t>Construct-measure direction.</w:t>
      </w:r>
      <w:r>
        <w:t xml:space="preserve"> The relationship between Table 1's anchors and the role-status assignment is </w:t>
      </w:r>
      <w:r>
        <w:rPr>
          <w:i/>
        </w:rPr>
        <w:t>formative</w:t>
      </w:r>
      <w:r>
        <w:t xml:space="preserve"> (Edwards &amp; Bagozzi, 2000): the anchors do not reflectively measure a latent role-status that exists prior to coding; they constitute the status by definition. We adopt the formative reading explicitly because Edwards's (2011) critique of formative measurement applies — a formative construct is meaningful only if its indicators jointly span the conceptual content — and we therefore defend completeness of the anchor set in Appendix E rather than treating completeness as assumed. </w:t>
      </w:r>
      <w:r>
        <w:rPr>
          <w:b/>
        </w:rPr>
        <w:t>Mutual exclusivity vs. exhaustiveness.</w:t>
      </w:r>
      <w:r>
        <w:t xml:space="preserve"> The typology is </w:t>
      </w:r>
      <w:r>
        <w:rPr>
          <w:i/>
        </w:rPr>
        <w:t>mutually exclusive within an applicable cell</w:t>
      </w:r>
      <w:r>
        <w:t xml:space="preserve"> but is </w:t>
      </w:r>
      <w:r>
        <w:rPr>
          <w:i/>
        </w:rPr>
        <w:t>not claimed to be exhaustive over all (role × case) cells</w:t>
      </w:r>
      <w:r>
        <w:t xml:space="preserve">: 37 of 612 cells are coded </w:t>
      </w:r>
      <w:r>
        <w:rPr>
          <w:i/>
        </w:rPr>
        <w:t>unclear</w:t>
      </w:r>
      <w:r>
        <w:t xml:space="preserve"> (insufficient evidence to apply any anchor) and 316 are coded </w:t>
      </w:r>
      <w:r>
        <w:rPr>
          <w:i/>
        </w:rPr>
        <w:t>not_applicable</w:t>
      </w:r>
      <w:r>
        <w:t xml:space="preserve"> (the role is not observable in the case file). These residuals are construct-form artifacts of the formative measurement design — they record where the rubric's indicators fail to fire — not a seventh and eighth status. Counts within the six statuses are therefore conditioned on observability and codability, and the V values reported in §6 should be read against the 259-cell observable-and-coded denominator.</w:t>
      </w:r>
    </w:p>
    <w:p>
      <w:r>
        <w:rPr>
          <w:b/>
        </w:rPr>
        <w:t>Scope conditions.</w:t>
      </w:r>
      <w:r>
        <w:t xml:space="preserve"> 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 industry-internal or quietly-deployed AI-in-research workflows (the visibility-bias caveat above bites here); (ii) pre-2024 cases where the </w:t>
      </w:r>
      <w:r>
        <w:rPr>
          <w:i/>
        </w:rPr>
        <w:t>transformed</w:t>
      </w:r>
      <w:r>
        <w:t xml:space="preserve"> anchor would be coded against an unobserved baseline; (iii) substantive subfields outside the eight case-family clusters represented (e.g., bench biology, formal economics) where role-system structure may differ. Generalization beyond these scope conditions is empirically open, not assumed. Of these three exclusions, (i) is </w:t>
      </w:r>
      <w:r>
        <w:rPr>
          <w:i/>
        </w:rPr>
        <w:t>theoretically-derived</w:t>
      </w:r>
      <w:r>
        <w:t xml:space="preserve">: the framework requires visible identification of AI involvement to license the </w:t>
      </w:r>
      <w:r>
        <w:rPr>
          <w:i/>
        </w:rPr>
        <w:t>transformed</w:t>
      </w:r>
      <w:r>
        <w:t xml:space="preserve"> anchor's before/after coding, so industry-internal cases are out-of-scope by construction. Exclusions (ii) and (iii) are </w:t>
      </w:r>
      <w:r>
        <w:rPr>
          <w:i/>
        </w:rPr>
        <w:t>empirically-observed</w:t>
      </w:r>
      <w:r>
        <w:t xml:space="preserve">: the framework does not predict its own failure outside the 2024–2026 window or the eight case families, but the audit cannot license generalization beyond them (Whetten, 1989, on theoretically-derived vs. empirically-observed boundary conditions as differently weighted contributions). The configural-invariance test pre-committed to v1.1 will convert (iii) from an empirical to a theoretical exclusion if it fails. (iv) </w:t>
      </w:r>
      <w:r>
        <w:rPr>
          <w:i/>
        </w:rPr>
        <w:t>Occupational scope</w:t>
      </w:r>
      <w:r>
        <w:t xml:space="preserve">: the framework was developed on cases drawn from a delimited set of occupational communities (computational social science, political-measurement, evidence-synthesis, anthropological fieldwork, simulation methodology). What counts as a </w:t>
      </w:r>
      <w:r>
        <w:rPr>
          <w:i/>
        </w:rPr>
        <w:t>load-bearing</w:t>
      </w:r>
      <w:r>
        <w:t xml:space="preserve"> procedural anchor is occupationally specified — codebook portability for measurement communities, reflexive memo-keeping for ethnographic communities — and the v1.0 rubric does not test whether anchors are occupationally invariant. Cross-occupation aggregation in Tables 2–3 presupposes occupational invariance the audit has not established (Barley &amp; Kunda, 2001, on bringing work back in); a v1.1 occupational-coding extension parallel to the configural-invariance test is the appropriate instrument.</w:t>
      </w:r>
    </w:p>
    <w:p>
      <w:r>
        <w:rPr>
          <w:b/>
        </w:rPr>
        <w:t>Coder development.</w:t>
      </w:r>
      <w:r>
        <w:t xml:space="preserve"> The four-case pilot served two distinct purposes the manuscript distinguishes. First, it was a </w:t>
      </w:r>
      <w:r>
        <w:rPr>
          <w:i/>
        </w:rPr>
        <w:t>rubric-development</w:t>
      </w:r>
      <w:r>
        <w:t xml:space="preserve"> exercise (anchors refined; split-pressure and merge-pressure statuses added). Second, it was a </w:t>
      </w:r>
      <w:r>
        <w:rPr>
          <w:i/>
        </w:rPr>
        <w:t>coder-development</w:t>
      </w:r>
      <w:r>
        <w:t xml:space="preserve"> exercise: the first coder applied v0.1 to Cases 1, 2, 7, 21, then re-coded Cases 1 and 2 under v0.4 to verify that earlier codings remained stable under the revised rubric. The pilot re-coding is the manuscript's only stability-grade reliability artifact; full-corpus stability is not established and is flagged as a v1.2 commitment alongside accuracy testing once a gold-standard role-status corpus exists.</w:t>
      </w:r>
    </w:p>
    <w:p>
      <w:r>
        <w:rPr>
          <w:b/>
        </w:rPr>
        <w:t>Temporal-equilibrium scope.</w:t>
      </w:r>
      <w:r>
        <w:t xml:space="preserve"> The 36 case codings represent single-snapshot temporal slices and presuppose that the captured (role × AI-capability) configuration is at local equilibrium. For cases where the role is co-constituted with an iteratively-updated learning algorithm (Faraj, Pachidi, &amp; Sayegh, 2018; Faraj &amp; Pachidi, 2021) — Hajishirzi's retrieval-augmented synthesis and Larson's synthetic-respondent calibration are the clearest instances — the snapshot may be a moment in an ongoing co-evolution, and the audit cannot adjudicate whether the coded status is durable. The v1.1 longitudinal extension flagged in §6 (transition direction across two snapshots) is the appropriate instrument for that question.</w:t>
      </w:r>
    </w:p>
    <w:p>
      <w:r>
        <w:rPr>
          <w:b/>
        </w:rPr>
        <w:t>Institutional embedding.</w:t>
      </w:r>
      <w:r>
        <w:t xml:space="preserve"> The rubric codes role statuses on the basis of behavioral anchors that are themselves drawn from case authors' own descriptions of their workflows. Because case authors are simultaneously legitimating their own workflows to disciplinary audiences (Suddaby &amp; Greenwood, 2005), the </w:t>
      </w:r>
      <w:r>
        <w:rPr>
          <w:i/>
        </w:rPr>
        <w:t>robust</w:t>
      </w:r>
      <w:r>
        <w:t xml:space="preserve"> coding partly indexes the rhetorical work the cases perform to position their human roles as load-bearing, alongside any external validity standard. The rubric does not adjudicate this; a v1.1 sub-coding distinguishing author-stated load-bearingness from third-party-attestable load-bearingness is the appropriate next instrument.</w:t>
      </w:r>
    </w:p>
    <w:p>
      <w:r>
        <w:t>The rubric operates at the activity-level role, but a role can be carried by performers at four nested levels: (a) the individual researcher's intrapersonal role bundle (Ramarajan, 2014); (b) the research team's division of labor across human and AI members (Woolley et al., 2010; Puranam, 2021 on AI as organizational member); (c) the institution's workflow design, where role-status assignments imply training and accountability infrastructure; and (d) the field-level standard, where rubric-level adoption would constitute a methodological convention. The 36-case repository codes at levels (a) and (b) jointly because case texts do not consistently distinguish them; the v1.1 within-case coding flagged in §3.1 and §6 is the appropriate test for separating the two. Forward-looking predictions in §7 are written at all four levels and are flagged accordingly.</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We label these exemplars </w:t>
      </w:r>
      <w:r>
        <w:rPr>
          <w:i/>
        </w:rPr>
        <w:t>prototypes</w:t>
      </w:r>
      <w:r>
        <w:t xml:space="preserve"> in the Lord, Foti, and DeVader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Piekkari, Plakoyiannaki, &amp; Paavilainen-Mäntymäki,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 We adopt the </w:t>
      </w:r>
      <w:r>
        <w:rPr>
          <w:i/>
        </w:rPr>
        <w:t>constitutive</w:t>
      </w:r>
      <w:r>
        <w:t xml:space="preserve"> reading of </w:t>
      </w:r>
      <w:r>
        <w:rPr>
          <w:i/>
        </w:rPr>
        <w:t>why</w:t>
      </w:r>
      <w:r>
        <w:t xml:space="preserve"> procedural roles are durable: procedural roles are individuated by the rubric's anchors </w:t>
      </w:r>
      <w:r>
        <w:rPr>
          <w:i/>
        </w:rPr>
        <w:t>as the role-cells whose performance is treated by case authors as load-bearing for inferential validity</w:t>
      </w:r>
      <w:r>
        <w:t>, and their durability under AI embedding is therefore a definitional consequence of how the construct is operationalized rather than a causal effect of procedural validity (Whetten, 1989, on the distinction between causal and constitutive theoretical claims). The empirically open question — whether case authors' load-bearingness judgments track an external validity standard or merely conventional disciplinary practice — is left to the v1.1 within-case coding extension. The codebook itself is doing jurisdictional work in the Bechky (2003) sense: it is the artifact through which construct boundaries are negotiated with reviewers, training data are operationalized for model evaluation, and edge-case decisions are rendered auditable to a second coder. The role's durability is inseparable from the codebook's portability — and across the repository, codebook-equivalents (Keith's construct definitions, Baccolini's inclusion rules, Larson's calibration benchmark spec)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goes further than the marginal role counts. Marginal P(durable) on the three H1 roles is 0.750, 0.528, and 0.556 across all 36 cases; under marginal independence the expected count of all-three-durable cases is 7.92, and the observed count of 12 is 1.52× expected. The triple co-occurrence is therefore a real configurational signal — borrowing the configurational vocabulary of Misangyi et al. (2017) descriptively rather than operating its full consistency/coverage apparatus on this triple, which would require a population of comparable cases the 36-case repository does not yet supply — and not a sum of marginal-distribution coincidences. We treat this as a descriptive set-theoretic finding rather than as a Boolean-minimized QCA result, because at N = 36 cases × 17 roles the configuration space is too large relative to the observed sample to support truth-table reduction (cf. Greckhamer et al., 2018 on QCA best practices for management research). A further intrapersonal-network reading is consistent with the pattern: the three durable roles plausibly co-occur in the same researcher within a case (Ramarajan, 2014), so the 1.52× lift may partly reflect that meta-role co-attachment to a single epistemic-guardian function. A common-method-variance reading also bears flagging (Williams, Hartman, &amp; Cavazotte, 2010): because </w:t>
      </w:r>
      <w:r>
        <w:rPr>
          <w:i/>
        </w:rPr>
        <w:t>robust</w:t>
      </w:r>
      <w:r>
        <w:t xml:space="preserve"> fires on author-stated load-bearing language, cases with more procedural prose plausibly register more procedural-robust codings independent of underlying durability, and the 1.52× triple-co-occurrence lift therefore confounds substantive role-attachment with case-text procedural-prose density. We will partial out per-case word-count and methods-section length in v1.1 and report the residual lift as the CMV-corrected configurational signal. Provenance architecture is also shaped by </w:t>
      </w:r>
      <w:r>
        <w:rPr>
          <w:i/>
        </w:rPr>
        <w:t>algorithmic opacity</w:t>
      </w:r>
      <w:r>
        <w:t xml:space="preserve"> (Faraj, Pachidi, &amp; Sayegh, 2018): the human role's content differs across deployments where the model's internal reasoning is fully traceable versus opaque-by-design; the v1.0 rubric does not code opacity-related variation in the role's content, and a v1.1 sub-coding distinguishing opacity-high and opacity-low </w:t>
      </w:r>
      <w:r>
        <w:rPr>
          <w:i/>
        </w:rPr>
        <w:t>protocol and provenance architect</w:t>
      </w:r>
      <w:r>
        <w:t xml:space="preserve"> configurations is the appropriate next instrument.</w:t>
      </w:r>
    </w:p>
    <w:p>
      <w:r>
        <w:t xml:space="preserve">We label this durable-on-protocol-and-calibration-and-accountability cluster the </w:t>
      </w:r>
      <w:r>
        <w:rPr>
          <w:i/>
        </w:rPr>
        <w:t>epistemic-guardian signature</w:t>
      </w:r>
      <w:r>
        <w:t xml:space="preserve"> and define it operationally as a (case × three-H1-roles) profile in which all three roles carry a durable status (robust, conditional, or transformed). The construct is distinguishable from Knorr Cetina's (1999) </w:t>
      </w:r>
      <w:r>
        <w:rPr>
          <w:i/>
        </w:rPr>
        <w:t>epistemic culture</w:t>
      </w:r>
      <w:r>
        <w:t xml:space="preserve">, which operates at the field level and indexes shared knowledge-production conventions; from Haas's (1992) </w:t>
      </w:r>
      <w:r>
        <w:rPr>
          <w:i/>
        </w:rPr>
        <w:t>epistemic community</w:t>
      </w:r>
      <w:r>
        <w:t xml:space="preserve">, which indexes a network of policy-relevant experts; and from a generic </w:t>
      </w:r>
      <w:r>
        <w:rPr>
          <w:i/>
        </w:rPr>
        <w:t>joint-load-bearingness</w:t>
      </w:r>
      <w:r>
        <w:t xml:space="preserve"> reading, by being explicitly tied to the three procedural roles that the rubric individuates as the validity-bearing role-cells under AI embedding. A team-composition rival reading is equally consistent with the pattern (Woolley et al., 2010 on collective-intelligence dependencies in research teams): cases that are well-resourced enough to staff all three procedural functions explicitly may register durable on all three regardless of typology structure, so the 1.52× lift could partly reflect research-team capacity rather than role-attachment within a single researcher. The 36-case repository codes at the case level and cannot adjudicate between the intrapersonal and team-composition readings; both are observable signatures of the same configurational pattern, and a v1.1 extension that codes who-performs-the-role-cell within each case is the appropriate test for that distinction. Independent of which observational level the lift is generated at, the design implication is the same: the three procedural roles co-vary closely enough that an organization embedding AI in research workflows should treat them as a single coordinated unit — one performer, one team, or one sign-off body — rather than allocating them across separate coordination structures (Puranam, Alexy, &amp; Reitzig, 2014, on new forms of organizing as task-allocation choices). Splitting them across structures would create the very provenance-vs-accountability merge pressure that §7 forward-predicts.</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These three shapes are not deterministic outcomes of AI capability; they are </w:t>
      </w:r>
      <w:r>
        <w:rPr>
          <w:i/>
        </w:rPr>
        <w:t>occasions</w:t>
      </w:r>
      <w:r>
        <w:t xml:space="preserve"> for structuring whose realized form is shaped by the occupational community in which the workflow is embedded (Barley, 1986, on technology as occasion for structuring rather than determinant). The same agentic-pipeline capability deployed in a political-measurement community and in an anthropological-fieldnote community will not produce the same shrinkage shape, because the craft tradition into which it lands defines what counts as residual human labor. The 36-case repository codes the realized outcome but does not isolate the occasion-vs-determinant contribution; a v1.1 within-case occupational coding is the appropriate instrument.</w:t>
      </w:r>
    </w:p>
    <w:p>
      <w:r>
        <w:t xml:space="preserve">Each shrinkage shape implies a different configuration of the AI as an organizational member (Puranam, 2021 on human-AI collaborative decision-making as organization design; Suchman, 2007 on configuration). </w:t>
      </w:r>
      <w:r>
        <w:rPr>
          <w:i/>
        </w:rPr>
        <w:t>Delegation</w:t>
      </w:r>
      <w:r>
        <w:t xml:space="preserve"> configures the AI as the primary performer with a human exception-handler, and requires routing infrastructure for exceptions; </w:t>
      </w:r>
      <w:r>
        <w:rPr>
          <w:i/>
        </w:rPr>
        <w:t>deskilling</w:t>
      </w:r>
      <w:r>
        <w:t xml:space="preserve"> configures the AI as an embedded tool with the human still nominally responsible for the role but at reduced discretion, and requires retraining infrastructure for residual humans; </w:t>
      </w:r>
      <w:r>
        <w:rPr>
          <w:i/>
        </w:rPr>
        <w:t>boundary redefinition</w:t>
      </w:r>
      <w:r>
        <w:t xml:space="preserve"> configures the AI as a partial member that absorbs a sub-task while the human role narrows around it, and requires role-redesign infrastructure at the team or institution level (Puranam, Alexy, &amp; Reitzig, 2014, on new forms of organizing as task-allocation patterns). These three configurations are not interchangeable from a coordination-architecture standpoint, and the typology's value to an organization designing an AI-embedded research workflow is that it diagnoses which configuration is in play before the workflow is locked in.</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recent occupational-exposure analyses of large language models specifically (Eloundou, Manning, Mishkin, &amp; Rock, 2023; Felten, Raj, &amp; Seamans, 2023) document the same task-level reshaping mechanism for LLMs — high-exposure tasks include translation, writing, and quantitative analysis at task-cluster grain rather than at whole-role grain — and the structural-prose-polishing pattern documented by Yin (n.d.) and Cox (n.d.) is the manuscript's role-level analog of those task-level findings. These three shapes are not interchangeable, and the manuscript's claim that "shrinkage clusters where auditability and public ground truth are strongest" refers specifically to delegation and boundary-redefinition shapes; deskilling is a weaker shrinkage signal.</w:t>
      </w:r>
    </w:p>
    <w:p>
      <w:r>
        <w:t xml:space="preserve">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A consistency of 0.857 clears Ragin's (2008) 0.75 minimum threshold for sufficiency claims but falls below the 0.90 threshold for </w:t>
      </w:r>
      <w:r>
        <w:rPr>
          <w:i/>
        </w:rPr>
        <w:t>strong</w:t>
      </w:r>
      <w:r>
        <w:t xml:space="preserve"> sufficiency: the relation is sufficient-with-material-exceptions (two of the 14 ground-truth-rich cases lack any shrinking task-cluster), so ground-truth-richness is close-to-sufficient </w:t>
      </w:r>
      <w:r>
        <w:rPr>
          <w:i/>
        </w:rPr>
        <w:t>with disclosed exceptions</w:t>
      </w:r>
      <w:r>
        <w:t xml:space="preserve"> rather than strongly sufficient. Coverage of 0.500 implies a second equifinal path (Ragin, 2008): of the 12 shrinking cases outside ground-truth-rich families, 9 are concentrated in the structural-prose-polishing cluster and arise where the task has </w:t>
      </w:r>
      <w:r>
        <w:rPr>
          <w:i/>
        </w:rPr>
        <w:t>clean post-hoc auditability</w:t>
      </w:r>
      <w:r>
        <w:t xml:space="preserve"> (an editor can compare draft to published prose) rather than public ground truth. The two-path equifinal reading — </w:t>
      </w:r>
      <w:r>
        <w:rPr>
          <w:i/>
        </w:rPr>
        <w:t>ground-truth-rich</w:t>
      </w:r>
      <w:r>
        <w:t xml:space="preserve"> OR </w:t>
      </w:r>
      <w:r>
        <w:rPr>
          <w:i/>
        </w:rPr>
        <w:t>clean-post-hoc-auditability</w:t>
      </w:r>
      <w:r>
        <w:t xml:space="preserve"> → </w:t>
      </w:r>
      <w:r>
        <w:rPr>
          <w:i/>
        </w:rPr>
        <w:t>has-shrinking</w:t>
      </w:r>
      <w:r>
        <w:t xml:space="preserve"> — is consistent with the data and recovers a coverage close to 0.875 jointly; we report this as a descriptive equifinality signal, not a Boolean-minimized solution, and the formal test awaits a larger-N QCA.</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operates as Furnari et al.'s (2021) </w:t>
      </w:r>
      <w:r>
        <w:rPr>
          <w:i/>
        </w:rPr>
        <w:t>scoping</w:t>
      </w:r>
      <w:r>
        <w:t xml:space="preserve"> heuristic — re-determining which conditions belong inside the configuration and which belong outside — and merge pressure operates as </w:t>
      </w:r>
      <w:r>
        <w:rPr>
          <w:i/>
        </w:rPr>
        <w:t>linking</w:t>
      </w:r>
      <w:r>
        <w:t xml:space="preserve">, where two formerly distinct conditions are recombined into a single configurational element. The </w:t>
      </w:r>
      <w:r>
        <w:rPr>
          <w:i/>
        </w:rPr>
        <w:t>naming</w:t>
      </w:r>
      <w:r>
        <w:t xml:space="preserve"> heuristic, properly understood, applies at the higher level of the configurations themselves (e.g., the durable-on-all-three-H1-roles cluster identified in §3.1 as an "epistemic-guardian" signature), not at the level of individual role labels.</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 We acknowledge a deeper limitation than the asymmetric-anchor disclosure already provided: for research configurations that were never assembled in a pre-AI form, the rubric is coding a counterfactual decomposition rather than an observed transition, and practice-theoretic readers (Orlikowski, 2007; Suchman, 2007) will rightly note that the role-as-it-exists in these cases is constitutively entangled with the AI configuration rather than modified by it. The rubric is therefore appropriate as a </w:t>
      </w:r>
      <w:r>
        <w:rPr>
          <w:i/>
        </w:rPr>
        <w:t>separability-presupposing</w:t>
      </w:r>
      <w:r>
        <w:t xml:space="preserve"> audit instrument across the 36 cases — and we read this presupposition as a genuine ontological scope condition on the typology, not only as a measurement nuisance — but we do not claim it adjudicates fully co-constituted research systems against a notionally pre-AI baseline.</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V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V CIs (B = 2,000, seed 20260425), per-role paired Wilcoxon </w:t>
      </w:r>
      <w:r>
        <w:rPr>
          <w:i/>
        </w:rPr>
        <w:t>W</w:t>
      </w:r>
      <w:r>
        <w:t xml:space="preserve"> = 7 / </w:t>
      </w:r>
      <w:r>
        <w:rPr>
          <w:i/>
        </w:rPr>
        <w:t>p</w:t>
      </w:r>
      <w:r>
        <w:t xml:space="preserve"> = 0.0006 and the sign-test companion </w:t>
      </w:r>
      <w:r>
        <w:rPr>
          <w:i/>
        </w:rPr>
        <w:t>p</w:t>
      </w:r>
      <w:r>
        <w:t xml:space="preserve"> = 0.004, V_family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 CI [0.147, 0.439] (B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pre-specified per-role paired sign test across 16 roles with defined V (14 of 16 positive, </w:t>
      </w:r>
      <w:r>
        <w:rPr>
          <w:i/>
        </w:rPr>
        <w:t>p</w:t>
      </w:r>
      <w:r>
        <w:t xml:space="preserve"> = 0.004), with the paired Wilcoxon (</w:t>
      </w:r>
      <w:r>
        <w:rPr>
          <w:i/>
        </w:rPr>
        <w:t>W</w:t>
      </w:r>
      <w:r>
        <w:t xml:space="preserve"> = 7, </w:t>
      </w:r>
      <w:r>
        <w:rPr>
          <w:i/>
        </w:rPr>
        <w:t>p</w:t>
      </w:r>
      <w:r>
        <w:t xml:space="preserve"> = 0.0006) reported alongside as the magnitude-sensitive companion; the cell-level Monte-Carlo on case family (</w:t>
      </w:r>
      <w:r>
        <w:rPr>
          <w:i/>
        </w:rPr>
        <w:t>p</w:t>
      </w:r>
      <w:r>
        <w:t xml:space="preserve"> = 0.0002) survives Holm correction, the case-level Monte-Carlo under the clustering-aware null does not (</w:t>
      </w:r>
      <w:r>
        <w:rPr>
          <w:i/>
        </w:rPr>
        <w:t>p</w:t>
      </w:r>
      <w:r>
        <w:t xml:space="preserve"> = 0.58). H3 is therefore supported as a cell-level pattern but is not significant under the case-level null at N = 36 cases;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We follow Pratt, Kaplan, and Whittington (2020) in treating </w:t>
      </w:r>
      <w:r>
        <w:rPr>
          <w:i/>
        </w:rPr>
        <w:t>transparency</w:t>
      </w:r>
      <w:r>
        <w:t xml:space="preserve"> and </w:t>
      </w:r>
      <w:r>
        <w:rPr>
          <w:i/>
        </w:rPr>
        <w:t>replication</w:t>
      </w:r>
      <w:r>
        <w:t xml:space="preserve"> as decoupleable goals for qualitative-coded research: the κ pass reported below is a replication-yardstick test on a partly-interpretive instrument, and we read it as evidence about the rubric's </w:t>
      </w:r>
      <w:r>
        <w:rPr>
          <w:i/>
        </w:rPr>
        <w:t>non-reflexive portability</w:t>
      </w:r>
      <w:r>
        <w:t xml:space="preserve"> — whether a coder given only the anchors and the case files can recover the first coder's codings — rather than as a unified trustworthiness score. The second-coder pass was performed by a sandboxed large-language-model agent with context restricted to the rubric and the case files. An LLM cannot perform the reflexive interpretation that fully-interpretive coding requires; we therefore report the LLM-agent κ as a </w:t>
      </w:r>
      <w:r>
        <w:rPr>
          <w:i/>
        </w:rPr>
        <w:t>rubric-portability</w:t>
      </w:r>
      <w:r>
        <w:t xml:space="preserve"> test rather than as a trustworthiness instrument, and treat the audit trail, the released disagreement log, the date-stamped codebook version history, and the human second-coder pass we flag as an unmet commitment as the load-bearing trustworthiness instruments. The Appendix B subsample was coded </w:t>
      </w:r>
      <w:r>
        <w:rPr>
          <w:i/>
        </w:rPr>
        <w:t>blind</w:t>
      </w:r>
      <w:r>
        <w:t xml:space="preserve"> because methods-journal reviewers expect a blind-subsample test of the rubric's stand-alone usability; we did not conduct the </w:t>
      </w:r>
      <w:r>
        <w:rPr>
          <w:i/>
        </w:rPr>
        <w:t>calibration sessions</w:t>
      </w:r>
      <w:r>
        <w:t xml:space="preserve"> in which two coders discuss disagreements and re-code (the qualitative-trustworthiness counterpart to the blind-subsample test, per Pratt, Kaplan, and Whittington 2020), and the κ failure on </w:t>
      </w:r>
      <w:r>
        <w:rPr>
          <w:i/>
        </w:rPr>
        <w:t>conditional</w:t>
      </w:r>
      <w:r>
        <w:t xml:space="preserve"> and </w:t>
      </w:r>
      <w:r>
        <w:rPr>
          <w:i/>
        </w:rPr>
        <w:t>transformed</w:t>
      </w:r>
      <w:r>
        <w:t xml:space="preserve"> is therefore partly diagnostic of category interpretiveness and partly diagnostic of the absence of calibration. A v1.1 protocol that interleaves blind subsamples with calibration sessions on a held-out set is the appropriate next step.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For prevalence-imbalance-robustness, we additionally compute </w:t>
      </w:r>
      <w:r>
        <w:rPr>
          <w:b/>
        </w:rPr>
        <w:t>Krippendorff's α</w:t>
      </w:r>
      <w:r>
        <w:t xml:space="preserve"> (Krippendorff, 2011; Hayes &amp; Krippendorff, 2007), which on the 7-category collapsed scheme yields α = 0.278 and on the full 8-category scheme yields α = 0.298 — within 0.011 of κ on the same data. The convergence of α and κ at this level indicates the failure is not a κ-prevalence-asymmetry artifact: both statistics return the same diagnostic. The result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We read this κ failure through three priority-ordered lenses that converge on a single v1.1 instrument. </w:t>
      </w:r>
      <w:r>
        <w:rPr>
          <w:b/>
        </w:rPr>
        <w:t>Load-bearing: construct validity / configural invariance</w:t>
      </w:r>
      <w:r>
        <w:t xml:space="preserve"> (Cronbach &amp; Meehl, 1955; Messick, 1995; Borsboom et al., 2004; Vandenberg &amp; Lance, 2000). The per-status κ of 0.000 on </w:t>
      </w:r>
      <w:r>
        <w:rPr>
          <w:i/>
        </w:rPr>
        <w:t>transformed</w:t>
      </w:r>
      <w:r>
        <w:t xml:space="preserve"> and 0.009 on </w:t>
      </w:r>
      <w:r>
        <w:rPr>
          <w:i/>
        </w:rPr>
        <w:t>conditional</w:t>
      </w:r>
      <w:r>
        <w:t xml:space="preserve"> is the diagnostic signature of configural-invariance failure on those two anchors: the observable features that license a </w:t>
      </w:r>
      <w:r>
        <w:rPr>
          <w:i/>
        </w:rPr>
        <w:t>transformed</w:t>
      </w:r>
      <w:r>
        <w:t xml:space="preserve"> code in Measurement &amp; coding cases (verb swaps in coding pipelines) are not the same observables that fire </w:t>
      </w:r>
      <w:r>
        <w:rPr>
          <w:i/>
        </w:rPr>
        <w:t>transformed</w:t>
      </w:r>
      <w:r>
        <w:t xml:space="preserve"> in Reproducibility &amp; autonomous research cases (sub-task introduction at agent boundaries), and cross-family comparisons aggregating over these two statuses presuppose configural invariance v1.0 has not demonstrated. </w:t>
      </w:r>
      <w:r>
        <w:rPr>
          <w:b/>
        </w:rPr>
        <w:t>Second: prototype access / calibration sessions</w:t>
      </w:r>
      <w:r>
        <w:t xml:space="preserve"> (Lord, Foti, &amp; DeVader, 1984; Pratt, Kaplan, &amp; Whittington, 2020). The first coder accessed prototypes built up across §3.0 exemplars and the main pass; the LLM second coder accessed only the anchors and the case files, and the absence of calibration sessions amplified the gap on transition-coded statuses. </w:t>
      </w:r>
      <w:r>
        <w:rPr>
          <w:b/>
        </w:rPr>
        <w:t>Third: transition vs. state</w:t>
      </w:r>
      <w:r>
        <w:t xml:space="preserve"> (Ramarajan, 2014). </w:t>
      </w:r>
      <w:r>
        <w:rPr>
          <w:i/>
        </w:rPr>
        <w:t>Conditional</w:t>
      </w:r>
      <w:r>
        <w:t xml:space="preserve"> and </w:t>
      </w:r>
      <w:r>
        <w:rPr>
          <w:i/>
        </w:rPr>
        <w:t>transformed</w:t>
      </w:r>
      <w:r>
        <w:t xml:space="preserve"> describe role transitions, which are inherently noisier from a single case-text snapshot than states are. Identity-transition, sociomaterial-constitutive (Orlikowski &amp; Scott, 2008), and tacit-knowledge (Barley &amp; Kunda, 2001) readings of the same κ pattern are also consistent with the data; we do not adjudicate among them and report the construct-validity / configural-invariance reading as the load-bearing one. The three priority-ordered readings converge on the same v1.1 instrument: a human second-coder pass with calibration sessions on the §3.0 prototypes prior to blind coding. The audit's role-status counts should also be read as conditioned on textual legibility (Barley &amp; Kunda, 2001): tacit-knowledge-load-bearing roles whose durability rests on unwritten apprenticeship-grade craft may be systematically under-counted in the </w:t>
      </w:r>
      <w:r>
        <w:rPr>
          <w:i/>
        </w:rPr>
        <w:t>robust</w:t>
      </w:r>
      <w:r>
        <w:t xml:space="preserve"> category, since the rubric's observability gate fires on case-text features.</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We deliberately do </w:t>
      </w:r>
      <w:r>
        <w:rPr>
          <w:i/>
        </w:rPr>
        <w:t>not</w:t>
      </w:r>
      <w:r>
        <w:t xml:space="preserve"> commit a v1.1 fix for the </w:t>
      </w:r>
      <w:r>
        <w:rPr>
          <w:i/>
        </w:rPr>
        <w:t>conditional</w:t>
      </w:r>
      <w:r>
        <w:t xml:space="preserve"> subtype problem. The 92 cells coded conditional may genuinely fail to admit a clean C-H/C-A split — moderator-gated human performance and AI-default-with-human-rescue may be points on a continuum rather than discrete subtypes — and forcing two annotation buckets onto a continuum would manufacture reliability the underlying construct does not support (Locke, Golden-Biddle, &amp; Feldman, 2008, on the generative role of unresolved doubt in research practice). We leave the conditional category operationally undifferentiated until the next 36 cases tell us whether the subtype distinction is empirically real or a coder's artifact. A planned v1.1 extension will </w:t>
      </w:r>
      <w:r>
        <w:rPr>
          <w:i/>
        </w:rPr>
        <w:t>evaluate</w:t>
      </w:r>
      <w:r>
        <w:t xml:space="preserve"> whether two conditional subtypes (</w:t>
      </w:r>
      <w:r>
        <w:rPr>
          <w:i/>
        </w:rPr>
        <w:t>C-H</w:t>
      </w:r>
      <w:r>
        <w:t xml:space="preserve">: human-default with AI assist; </w:t>
      </w:r>
      <w:r>
        <w:rPr>
          <w:i/>
        </w:rPr>
        <w:t>C-A</w:t>
      </w:r>
      <w:r>
        <w:t>: AI-default with human rescue) are warranted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We additionally pre-commit a CFA marker-variable test (Williams, Hartman, &amp; Cavazotte, 2010): per-case word count, publication year, and venue type will be entered as theoretically-unrelated marker variables, and the marker-corrected V values for case family and AI capability will be reported alongside the uncorrected values; if the marker-corrected V_family drops by more than 0.05, the H3 cell-level pattern is partly an artifact of single-source variance and should be re-described as such. We pre-commit v1.1 to a configural-invariance test in the Vandenberg-Lance (2000) sense: with two human coders and ≥ 50 cases per family, we will test whether each status anchor fires on equivalent observable features across families (configural), whether the conditional probability of firing given case features is equivalent (metric), and whether intercept-equivalent firing licenses cross-family count comparison (scalar). Failure of configural invariance on a status would block cross-family aggregation on that status; failure of metric or scalar invariance would block effect-size comparison. The pre-analysis plan is to be filed at OSF prior to v1.1 coding. A complementary inductive-rigor reading (Gioia, Corley, &amp; Hamilton, 2013) would expect each 2nd-order anchor in Table 1 to be traceable to 1st-order informant-language quotations for each (role × case) cell; the released </w:t>
      </w:r>
      <w:r>
        <w:rPr>
          <w:rFonts w:ascii="Consolas" w:hAnsi="Consolas"/>
          <w:sz w:val="21"/>
        </w:rPr>
        <w:t>quoted_evidence_sentence</w:t>
      </w:r>
      <w:r>
        <w:t xml:space="preserve"> column in </w:t>
      </w:r>
      <w:r>
        <w:rPr>
          <w:rFonts w:ascii="Consolas" w:hAnsi="Consolas"/>
          <w:sz w:val="21"/>
        </w:rPr>
        <w:t>role_coding_master.csv</w:t>
      </w:r>
      <w:r>
        <w:t xml:space="preserve"> is the audit-trail artifact for that test, and the per-status κ failure on </w:t>
      </w:r>
      <w:r>
        <w:rPr>
          <w:i/>
        </w:rPr>
        <w:t>conditional</w:t>
      </w:r>
      <w:r>
        <w:t xml:space="preserve"> and </w:t>
      </w:r>
      <w:r>
        <w:rPr>
          <w:i/>
        </w:rPr>
        <w:t>transformed</w:t>
      </w:r>
      <w:r>
        <w:t xml:space="preserve"> is consistent with weaker 1st-order anchoring on transition-coded statuses, which a v1.1 protocol that strengthens 1st-order quotation discipline on those two categories is the appropriate next instrument for.</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as documented in </w:t>
      </w:r>
      <w:r>
        <w:rPr>
          <w:rFonts w:ascii="Consolas" w:hAnsi="Consolas"/>
          <w:sz w:val="21"/>
        </w:rPr>
        <w:t>30_reviews/OSF_preregistration.md</w:t>
      </w:r>
      <w:r>
        <w:t xml:space="preserve"> and the Transparency block, is the per-role paired sign test (</w:t>
      </w:r>
      <w:r>
        <w:rPr>
          <w:i/>
        </w:rPr>
        <w:t>p</w:t>
      </w:r>
      <w:r>
        <w:t xml:space="preserve"> = 0.004 on 14 of 16 positive differences). On the same 16 paired differences the paired Wilcoxon signed-rank yields </w:t>
      </w:r>
      <w:r>
        <w:rPr>
          <w:i/>
        </w:rPr>
        <w:t>W</w:t>
      </w:r>
      <w:r>
        <w:t xml:space="preserve"> = 7, </w:t>
      </w:r>
      <w:r>
        <w:rPr>
          <w:i/>
        </w:rPr>
        <w:t>p</w:t>
      </w:r>
      <w:r>
        <w:t xml:space="preserve"> = 0.0006; we report the Wilcoxon as the headline statistic because it uses the </w:t>
      </w:r>
      <w:r>
        <w:rPr>
          <w:i/>
        </w:rPr>
        <w:t>magnitude</w:t>
      </w:r>
      <w:r>
        <w:t xml:space="preserve"> of paired V differences rather than only their sign, but we flag this as a post-hoc choice of </w:t>
      </w:r>
      <w:r>
        <w:rPr>
          <w:i/>
        </w:rPr>
        <w:t>statistic</w:t>
      </w:r>
      <w:r>
        <w:t xml:space="preserve"> on the same 16 paired comparisons rather than a post-hoc choice of test family — both tests reject the null at α = 0.05 and both survive Holm correction across the six-test confirmatory family enumerated below. The substantive verdict therefore does not depend on the choice between the pre-committed sign test and the headline Wilcoxon.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and indeed sits within the attenuation introduced by an instrument with κ = 0.289 (the V values are not corrected for instrument unreliability and disattenuation would shift both upward by similar amounts). A more pointed measurement-invariance reading is that the cross-lens gap of 0.020 is interpretable only if the rubric's anchors fire on the same latent construct across the 8 case families and the 3 AI-capability categories — a configural-invariance condition the v1.0 rubric has not tested. Until that condition is established, the cross-lens contrast is descriptive of the rubric, not of the field.</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b/>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b/>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b/>
        </w:rPr>
        <w:t>case-cluster bootstrap</w:t>
      </w:r>
      <w:r>
        <w:t xml:space="preserve"> (B = 2,000, seed 20260425, resampling cases with replacement), which yields V_family 95 % CI [0.261, 0.430], V_capability 95 % CI [0.193, 0.451], and V_gap 95 % CI [−0.096, 0.156] with P(gap &gt; 0) = 0.69; the cluster-bootstrap CI on V_gap straddles zero and is consistent with the case-level Monte-Carlo result.</w:t>
      </w:r>
    </w:p>
    <w:p>
      <w:r>
        <w:t xml:space="preserve">The pre-specified confirmatory family for H1–H3 contains six tests, against which a Holm step-down correction is applied at α = 0.05 (computed in </w:t>
      </w:r>
      <w:r>
        <w:rPr>
          <w:rFonts w:ascii="Consolas" w:hAnsi="Consolas"/>
          <w:sz w:val="21"/>
        </w:rPr>
        <w:t>scripts/section6_analysis.py</w:t>
      </w:r>
      <w:r>
        <w:t xml:space="preserve">): (1) cell-level Monte-Carlo on case family (raw </w:t>
      </w:r>
      <w:r>
        <w:rPr>
          <w:i/>
        </w:rPr>
        <w:t>p</w:t>
      </w:r>
      <w:r>
        <w:t xml:space="preserve"> = 0.0002, Holm-adjusted </w:t>
      </w:r>
      <w:r>
        <w:rPr>
          <w:i/>
        </w:rPr>
        <w:t>p</w:t>
      </w:r>
      <w:r>
        <w:t xml:space="preserve"> = 0.0012); (2) per-role Wilcoxon signed-rank (raw </w:t>
      </w:r>
      <w:r>
        <w:rPr>
          <w:i/>
        </w:rPr>
        <w:t>p</w:t>
      </w:r>
      <w:r>
        <w:t xml:space="preserve"> = 0.0006, Holm-adjusted </w:t>
      </w:r>
      <w:r>
        <w:rPr>
          <w:i/>
        </w:rPr>
        <w:t>p</w:t>
      </w:r>
      <w:r>
        <w:t xml:space="preserve"> = 0.003); (3) cell-level Monte-Carlo on AI capability (raw </w:t>
      </w:r>
      <w:r>
        <w:rPr>
          <w:i/>
        </w:rPr>
        <w:t>p</w:t>
      </w:r>
      <w:r>
        <w:t xml:space="preserve"> = 0.0012, Holm-adjusted </w:t>
      </w:r>
      <w:r>
        <w:rPr>
          <w:i/>
        </w:rPr>
        <w:t>p</w:t>
      </w:r>
      <w:r>
        <w:t xml:space="preserve"> = 0.005); (4) per-role paired sign test (raw </w:t>
      </w:r>
      <w:r>
        <w:rPr>
          <w:i/>
        </w:rPr>
        <w:t>p</w:t>
      </w:r>
      <w:r>
        <w:t xml:space="preserve"> = 0.004, Holm-adjusted </w:t>
      </w:r>
      <w:r>
        <w:rPr>
          <w:i/>
        </w:rPr>
        <w:t>p</w:t>
      </w:r>
      <w:r>
        <w:t xml:space="preserve"> = 0.013); (5) case-level Monte-Carlo on case family (raw </w:t>
      </w:r>
      <w:r>
        <w:rPr>
          <w:i/>
        </w:rPr>
        <w:t>p</w:t>
      </w:r>
      <w:r>
        <w:t xml:space="preserve"> = 0.58, Holm-adjusted </w:t>
      </w:r>
      <w:r>
        <w:rPr>
          <w:i/>
        </w:rPr>
        <w:t>p</w:t>
      </w:r>
      <w:r>
        <w:t xml:space="preserve"> = 0.58); and (6) case-level Monte-Carlo on AI capability (raw </w:t>
      </w:r>
      <w:r>
        <w:rPr>
          <w:i/>
        </w:rPr>
        <w:t>p</w:t>
      </w:r>
      <w:r>
        <w:t xml:space="preserve"> = 0.33, Holm-adjusted </w:t>
      </w:r>
      <w:r>
        <w:rPr>
          <w:i/>
        </w:rPr>
        <w:t>p</w:t>
      </w:r>
      <w:r>
        <w:t xml:space="preserve"> = 0.66). Tests (1)–(4) survive Holm correction; tests (5) and (6) do not.</w:t>
      </w:r>
    </w:p>
    <w:p>
      <w:r>
        <w:t xml:space="preserve">H3 is therefore </w:t>
      </w:r>
      <w:r>
        <w:rPr>
          <w:b/>
        </w:rPr>
        <w:t>supported as a cell-level repository pattern but not significant under the clustering-aware case-level null at N = 36 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 xml:space="preserve">Framed this way, the paper's contribution stays appropriately bounded for a methods journal. </w:t>
      </w:r>
      <w:r>
        <w:rPr>
          <w:b/>
        </w:rPr>
        <w:t>What the 36-case audit cannot license.</w:t>
      </w:r>
      <w:r>
        <w:t xml:space="preserve"> Following the small-N inferential discipline of King, Keohane, and Verba (1994), we enumerate the inferences the design rules out. (i) </w:t>
      </w:r>
      <w:r>
        <w:rPr>
          <w:i/>
        </w:rPr>
        <w:t>Population-level effect estimates</w:t>
      </w:r>
      <w:r>
        <w:t xml:space="preserve">: the design has no defined target population, only a visibility-filtered convenience sample; the cross-family V = 0.260 is a within-sample association, not an effect estimate. (ii) </w:t>
      </w:r>
      <w:r>
        <w:rPr>
          <w:i/>
        </w:rPr>
        <w:t>Causal claims about what produces durability or shrinkage</w:t>
      </w:r>
      <w:r>
        <w:t xml:space="preserve">: case family and AI capability are jointly selected by the same visibility filter, so neither can be isolated as a cause of role status; the H3 cell-level cross-lens contrast is a within-sample association at the cell level, not a population-level effect. (iii) </w:t>
      </w:r>
      <w:r>
        <w:rPr>
          <w:i/>
        </w:rPr>
        <w:t>Selection-bias correction</w:t>
      </w:r>
      <w:r>
        <w:t xml:space="preserve">: cases visible enough to enter the database are partly cases where the procedural role was robust enough to produce a publishable workflow, biasing the durable-roles count upward — collapsed-procedure cases plausibly fail to publish and are never coded. The H1 verdict is therefore conditioned on the visibility filter and cannot be extrapolated to the unobserved population of attempted-but-unpublished AI-in-research projects. (iv) </w:t>
      </w:r>
      <w:r>
        <w:rPr>
          <w:i/>
        </w:rPr>
        <w:t>Mechanistic claims about coordination structure</w:t>
      </w:r>
      <w:r>
        <w:t xml:space="preserve">: no within-case coding of who-performs-the-role-cell exists at v1.0; the v1.1 within-case extension is the appropriate instrument. (v) </w:t>
      </w:r>
      <w:r>
        <w:rPr>
          <w:i/>
        </w:rPr>
        <w:t>Prescriptive claims</w:t>
      </w:r>
      <w:r>
        <w:t xml:space="preserve">: the §7 author/reviewer/institution recommendations are </w:t>
      </w:r>
      <w:r>
        <w:rPr>
          <w:i/>
        </w:rPr>
        <w:t>normative</w:t>
      </w:r>
      <w:r>
        <w:t xml:space="preserve"> inferences from the descriptive pattern, not estimates from the coding, and §7 will flag this distinction explicitly. The 2027 hold-out, the v1.1 within-case extension, the configural-invariance test, and a stranger-coder replication are the appropriate next instruments.</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are not a flat list; they cluster onto two aggregate dimensions that </w:t>
      </w:r>
      <w:r>
        <w:rPr>
          <w:i/>
        </w:rPr>
        <w:t>emerged</w:t>
      </w:r>
      <w:r>
        <w:t xml:space="preserve"> from the comparative audit rather than being imposed from prior theory (Gioia, Corley, &amp; Hamilton, 2013, on aggregate-dimension naming as the highest-order theoretical claim an inductive audit licenses).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two-dimensional structure is the highest-order theoretical claim the audit licenses, and the typology is six rather than four because reconfiguration and reallocation are independent forms of jurisdictional revision (Abbott, 1988; Freidson, 2001). Concretely, the two-axis structure was not visible at v0.1, when the four base statuses were treated as a flat list. It surfaced after Case 10's merge-pressure coding made it impossible to read split and merge as further points on the allocation axis: their substantive content was the unit of analysis itself, not the human-AI allocation within a fixed unit. The allocation/specification distinction is therefore an aggregate-dimension </w:t>
      </w:r>
      <w:r>
        <w:rPr>
          <w:i/>
        </w:rPr>
        <w:t>finding</w:t>
      </w:r>
      <w:r>
        <w:t xml:space="preserve"> of the audit, in the Gioia, Corley, &amp; Hamilton (2013) sense, rather than a theoretical lens applied to the data.</w:t>
      </w:r>
    </w:p>
    <w:p>
      <w:r>
        <w:t xml:space="preserve">The two-axis framing also generates forward-looking predictions the repository does not yet test. We frame these predictions in the </w:t>
      </w:r>
      <w:r>
        <w:rPr>
          <w:i/>
        </w:rPr>
        <w:t>inductive-extension</w:t>
      </w:r>
      <w:r>
        <w:t xml:space="preserve"> mode (Welch, Piekkari, Plakoyiannaki, &amp; Paavilainen-Mäntymäki, 2011 on theorizing forms in case research; Cornelissen, Höllerer, &amp; Seidl, 2021 on the importance of declaring theorizing form): they extrapolate from observed configurational signals to as-yet-unobserved (case × year) cells rather than deductively prove anything from a closed theory. They are corrigible by future cases, and the falsifying observations are pre-specified.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is silent on whether the merge appears at the level of an individual researcher's two-role attachment or at the level of a research-team reorganization of who signs off on what (Woolley et al., 2010 on team-level division of labor versus individual role attachment), and both observation modes count as confirmatory.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here too, the prediction is silent on whether the transformation occurs through change in an individual researcher's role content or through reallocation of who in the team performs which sub-task. We restate these predictions as numbered propositions (Eisenhardt &amp; Graebner, 2007) for theory-extension testing on out-of-sample cases: </w:t>
      </w:r>
      <w:r>
        <w:rPr>
          <w:b/>
        </w:rPr>
        <w:t>P1</w:t>
      </w:r>
      <w:r>
        <w:t xml:space="preserve">: Procedural roles (protocol-and-provenance, calibration, accountability) co-occur as a single epistemic-guardian configuration; their statuses are not independently distributable. </w:t>
      </w:r>
      <w:r>
        <w:rPr>
          <w:b/>
        </w:rPr>
        <w:t>P2</w:t>
      </w:r>
      <w:r>
        <w:t xml:space="preserve">: Shrinkage clusters where the joint conjunction </w:t>
      </w:r>
      <w:r>
        <w:rPr>
          <w:i/>
        </w:rPr>
        <w:t>public-ground-truth ∨ post-hoc-auditability</w:t>
      </w:r>
      <w:r>
        <w:t xml:space="preserve"> holds, not where AI capability is highest. </w:t>
      </w:r>
      <w:r>
        <w:rPr>
          <w:b/>
        </w:rPr>
        <w:t>P3</w:t>
      </w:r>
      <w:r>
        <w:t xml:space="preserve">: As agentic autonomy rises, protocol-and-provenance and accountability-and-labor undergo merge pressure rather than independent transformation. P1–P3 are testable on the pre-specified 2027 hold-out and articulate a co-evolving (capability × role-status) trajectory rather than role-status change against fixed capability — capability evolution is itself partly produced by the deployments that motivate the predictions (Faraj &amp; Pachidi, 2021), and the 2027 hold-out should code capability and role-status jointly. These predictions are empirically testable against a 2027 extension of the repository and are offered as falsifiable extensions of the framework, not as established findings. The 2027 hold-out sampling frame is pre-specified as: published or preprinted between 2026-07-01 and 2027-12-31, AI-in-research as primary empirical object, full-text retrievable, with stratification by the eight case-family clusters used in Table 3a to mitigate visibility bias; target </w:t>
      </w:r>
      <w:r>
        <w:rPr>
          <w:i/>
        </w:rPr>
        <w:t>N</w:t>
      </w:r>
      <w:r>
        <w:t xml:space="preserve"> = 60 cases (24 new + 36 retained as anchors), powered at 0.80 to detect a 0.10 absolute shift in transformed-status prevalence for accountability and labor allocator under a one-sample binomial test against the 2024–2026 baseline of 7/36 = 0.194. Falsification thresholds per prediction: (i) merge pressure between </w:t>
      </w:r>
      <w:r>
        <w:rPr>
          <w:i/>
        </w:rPr>
        <w:t>protocol and provenance architect</w:t>
      </w:r>
      <w:r>
        <w:t xml:space="preserve"> and </w:t>
      </w:r>
      <w:r>
        <w:rPr>
          <w:i/>
        </w:rPr>
        <w:t>accountability and labor allocator</w:t>
      </w:r>
      <w:r>
        <w:t xml:space="preserve"> is falsified if the 2027 hold-out shows ≤ 2 such codings (matching the 2024–2026 base rate within sampling error); (ii) split-pressure migration toward </w:t>
      </w:r>
      <w:r>
        <w:rPr>
          <w:i/>
        </w:rPr>
        <w:t>calibration architect</w:t>
      </w:r>
      <w:r>
        <w:t xml:space="preserve"> is falsified if the calibration-architect split-pressure count fails to exceed the context-witness split-pressure count by ≥ 3 codings; (iii) </w:t>
      </w:r>
      <w:r>
        <w:rPr>
          <w:i/>
        </w:rPr>
        <w:t>transformed</w:t>
      </w:r>
      <w:r>
        <w:t xml:space="preserve"> becoming modal for </w:t>
      </w:r>
      <w:r>
        <w:rPr>
          <w:i/>
        </w:rPr>
        <w:t>accountability and labor allocator</w:t>
      </w:r>
      <w:r>
        <w:t xml:space="preserve"> is falsified if its transformed-prevalence fails to exceed both its conditional and robust prevalences in the hold-out. The pre-committed analysis script for the 2027 pass — with seeds, Holm-corrected confirmatory-test family across the three predictions, and case-cluster bootstrap on V_family stability — is to be deposited as </w:t>
      </w:r>
      <w:r>
        <w:rPr>
          <w:rFonts w:ascii="Consolas" w:hAnsi="Consolas"/>
          <w:sz w:val="21"/>
        </w:rPr>
        <w:t>scripts/section7_2027_holdout.py</w:t>
      </w:r>
      <w:r>
        <w:t xml:space="preserve"> at the v1.0.0-ORM-submission release tag, in the common-task-method discipline (Salganik, 2018; Salganik et al., 2020) extended from hypothesis testing to forward-prediction extension. Each prediction is conditional on the 2027 capability distribution being a smooth continuation of the 2024–2026 window the rubric was built on; if frontier capability shifts produce a structurally different distribution (e.g., reliable multi-day autonomy at scale, or a measurement-bias regime not captured by the current generative/agentic/predictive triad), the predictions are not falsified so much as rendered out-of-distribution (Bail, 2024 on the moving-target risk for AI-in-social-science frameworks).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t>Tables 5 and 6 translate the descriptive audit into recommendations for authors, reviewers, and institutions; they are the rubric's intended applied use, with implied coordination mechanisms offered as conjectures consistent with the pattern.</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Tornberg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What authors of new AI-embedded studies should do, by status, with implied coordination mechanism and repository-level top-anchor compliance.</w:t>
      </w:r>
      <w:r>
        <w:t xml:space="preserve"> One imperative per status, with the exemplar case from §3.0, the implied human-AI coordination mechanism,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compliance</w:t>
            </w:r>
          </w:p>
        </w:tc>
      </w:tr>
      <w:tr>
        <w:tc>
          <w:tcPr>
            <w:tcW w:type="dxa" w:w="1728"/>
          </w:tcPr>
          <w:p>
            <w:r/>
            <w:r>
              <w:t>Robust</w:t>
            </w:r>
          </w:p>
        </w:tc>
        <w:tc>
          <w:tcPr>
            <w:tcW w:type="dxa" w:w="1728"/>
          </w:tcPr>
          <w:p>
            <w:r/>
            <w:r>
              <w:t>…tie the role to at least one inferential claim in methods or limitations; specify why AI substitution would degrade validity.</w:t>
            </w:r>
          </w:p>
        </w:tc>
        <w:tc>
          <w:tcPr>
            <w:tcW w:type="dxa" w:w="1728"/>
          </w:tcPr>
          <w:p>
            <w:r/>
            <w:r>
              <w:t>Human-as-sole-performer; AI excluded from this role-cell.</w:t>
            </w:r>
          </w:p>
        </w:tc>
        <w:tc>
          <w:tcPr>
            <w:tcW w:type="dxa" w:w="1728"/>
          </w:tcPr>
          <w:p>
            <w:r/>
            <w:r>
              <w:t>Keith, 2026 / Case 2</w:t>
            </w:r>
          </w:p>
        </w:tc>
        <w:tc>
          <w:tcPr>
            <w:tcW w:type="dxa" w:w="1728"/>
          </w:tcPr>
          <w:p>
            <w:r/>
            <w:r>
              <w:t>15 / 36 cases carry ≥ 1 robust coding for a starting role (42%)</w:t>
            </w:r>
          </w:p>
        </w:tc>
      </w:tr>
      <w:tr>
        <w:tc>
          <w:tcPr>
            <w:tcW w:type="dxa" w:w="1728"/>
          </w:tcPr>
          <w:p>
            <w:r/>
            <w:r>
              <w:t>Conditional</w:t>
            </w:r>
          </w:p>
        </w:tc>
        <w:tc>
          <w:tcPr>
            <w:tcW w:type="dxa" w:w="1728"/>
          </w:tcPr>
          <w:p>
            <w:r/>
            <w:r>
              <w:t>…name at least one moderator variable (task feature, data property, or institutional setting) under which human performance is required; report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coded conditional (15%)</w:t>
            </w:r>
          </w:p>
        </w:tc>
      </w:tr>
      <w:tr>
        <w:tc>
          <w:tcPr>
            <w:tcW w:type="dxa" w:w="1728"/>
          </w:tcPr>
          <w:p>
            <w:r/>
            <w:r>
              <w:t>Transformed</w:t>
            </w:r>
          </w:p>
        </w:tc>
        <w:tc>
          <w:tcPr>
            <w:tcW w:type="dxa" w:w="1728"/>
          </w:tcPr>
          <w:p>
            <w:r/>
            <w:r>
              <w:t>…use before/after language or a verb swap; name new sub-tasks (disclosure, credit allocation, calibration audit) as new rather than as extensions.</w:t>
            </w:r>
          </w:p>
        </w:tc>
        <w:tc>
          <w:tcPr>
            <w:tcW w:type="dxa" w:w="1728"/>
          </w:tcPr>
          <w:p>
            <w:r/>
            <w:r>
              <w:t>Content-redefined human role: AI absorbs the prior content, the human's task list changes around it (Puranam, 2021 on AI-as-organizational-member).</w:t>
            </w:r>
          </w:p>
        </w:tc>
        <w:tc>
          <w:tcPr>
            <w:tcW w:type="dxa" w:w="1728"/>
          </w:tcPr>
          <w:p>
            <w:r/>
            <w:r>
              <w:t>Yin, n.d. / Case 29</w:t>
            </w:r>
          </w:p>
        </w:tc>
        <w:tc>
          <w:tcPr>
            <w:tcW w:type="dxa" w:w="1728"/>
          </w:tcPr>
          <w:p>
            <w:r/>
            <w:r>
              <w:t>30 / 612 cells coded transformed (4.9%)</w:t>
            </w:r>
          </w:p>
        </w:tc>
      </w:tr>
      <w:tr>
        <w:tc>
          <w:tcPr>
            <w:tcW w:type="dxa" w:w="1728"/>
          </w:tcPr>
          <w:p>
            <w:r/>
            <w:r>
              <w:t>Shrinking</w:t>
            </w:r>
          </w:p>
        </w:tc>
        <w:tc>
          <w:tcPr>
            <w:tcW w:type="dxa" w:w="1728"/>
          </w:tcPr>
          <w:p>
            <w:r/>
            <w:r>
              <w:t>…report the public ground truth or high-consensus target; characterize residual human labor as rescue, triage, or verification; do not extend the shrinkage claim to role-layer disappearance.</w:t>
            </w:r>
          </w:p>
        </w:tc>
        <w:tc>
          <w:tcPr>
            <w:tcW w:type="dxa" w:w="1728"/>
          </w:tcPr>
          <w:p>
            <w:r/>
            <w:r>
              <w:t>Exception-handling oversight: AI as default performer, human routed in for triage and rescue only.</w:t>
            </w:r>
          </w:p>
        </w:tc>
        <w:tc>
          <w:tcPr>
            <w:tcW w:type="dxa" w:w="1728"/>
          </w:tcPr>
          <w:p>
            <w:r/>
            <w:r>
              <w:t>Tornberg, 2025 / Case 1</w:t>
            </w:r>
          </w:p>
        </w:tc>
        <w:tc>
          <w:tcPr>
            <w:tcW w:type="dxa" w:w="1728"/>
          </w:tcPr>
          <w:p>
            <w:r/>
            <w:r>
              <w:t>40 / 612 cells coded shrinking (6.5%), concentrated in 11 cases</w:t>
            </w:r>
          </w:p>
        </w:tc>
      </w:tr>
      <w:tr>
        <w:tc>
          <w:tcPr>
            <w:tcW w:type="dxa" w:w="1728"/>
          </w:tcPr>
          <w:p>
            <w:r/>
            <w:r>
              <w:t>Split pressure</w:t>
            </w:r>
          </w:p>
        </w:tc>
        <w:tc>
          <w:tcPr>
            <w:tcW w:type="dxa" w:w="1728"/>
          </w:tcPr>
          <w:p>
            <w:r/>
            <w:r>
              <w:t>…show that AI performance differs across the conflated sub-activities; distinguish the sub-activities in the analysis and revise the typology accordingly.</w:t>
            </w:r>
          </w:p>
        </w:tc>
        <w:tc>
          <w:tcPr>
            <w:tcW w:type="dxa" w:w="1728"/>
          </w:tcPr>
          <w:p>
            <w:r/>
            <w:r>
              <w:t>Role bifurcation: two separately-coordinated sub-roles, each with its own performer assignment (the typology changes, not just the allocation).</w:t>
            </w:r>
          </w:p>
        </w:tc>
        <w:tc>
          <w:tcPr>
            <w:tcW w:type="dxa" w:w="1728"/>
          </w:tcPr>
          <w:p>
            <w:r/>
            <w:r>
              <w:t>Gligorić, n.d. / Case 3</w:t>
            </w:r>
          </w:p>
        </w:tc>
        <w:tc>
          <w:tcPr>
            <w:tcW w:type="dxa" w:w="1728"/>
          </w:tcPr>
          <w:p>
            <w:r/>
            <w:r>
              <w:t>39 / 612 cells flagged split pressure (6.4%); 7 of 8 starting roles triggered</w:t>
            </w:r>
          </w:p>
        </w:tc>
      </w:tr>
      <w:tr>
        <w:tc>
          <w:tcPr>
            <w:tcW w:type="dxa" w:w="1728"/>
          </w:tcPr>
          <w:p>
            <w:r/>
            <w:r>
              <w:t>Merge pressure</w:t>
            </w:r>
          </w:p>
        </w:tc>
        <w:tc>
          <w:tcPr>
            <w:tcW w:type="dxa" w:w="1728"/>
          </w:tcPr>
          <w:p>
            <w:r/>
            <w:r>
              <w:t>…report evidence that the two roles are inseparable in practice within the case; treat them as a joint object rather than as independent activities.</w:t>
            </w:r>
          </w:p>
        </w:tc>
        <w:tc>
          <w:tcPr>
            <w:tcW w:type="dxa" w:w="1728"/>
          </w:tcPr>
          <w:p>
            <w:r/>
            <w:r>
              <w:t>Joint-object coordination: the two role-cells must be performed by a single accountable unit (individual, team, or sign-off body) rather than divided.</w:t>
            </w:r>
          </w:p>
        </w:tc>
        <w:tc>
          <w:tcPr>
            <w:tcW w:type="dxa" w:w="1728"/>
          </w:tcPr>
          <w:p>
            <w:r/>
            <w:r>
              <w:t>Hajishirzi, 2026 / Case 10</w:t>
            </w:r>
          </w:p>
        </w:tc>
        <w:tc>
          <w:tcPr>
            <w:tcW w:type="dxa" w:w="1728"/>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with explicitly differentiated levels of inferential support — boundary-setting and procedure-setting roles survive more often than routine production clusters (H1), shrinkage clusters where auditability and public ground truth are strongest (H2), and case family is a stronger </w:t>
      </w:r>
      <w:r>
        <w:rPr>
          <w:i/>
        </w:rPr>
        <w:t>cell-level</w:t>
      </w:r>
      <w:r>
        <w:t xml:space="preserve"> associate of role status than AI capability (H3; per-role Wilcoxon </w:t>
      </w:r>
      <w:r>
        <w:rPr>
          <w:i/>
        </w:rPr>
        <w:t>p</w:t>
      </w:r>
      <w:r>
        <w:t xml:space="preserve"> = 0.0006 and cell-level Monte-Carlo </w:t>
      </w:r>
      <w:r>
        <w:rPr>
          <w:i/>
        </w:rPr>
        <w:t>p</w:t>
      </w:r>
      <w:r>
        <w:t xml:space="preserve"> = 0.0002 both survive Holm correction, but the clustering-aware case-level Monte-Carlo </w:t>
      </w:r>
      <w:r>
        <w:rPr>
          <w:i/>
        </w:rPr>
        <w:t>p</w:t>
      </w:r>
      <w:r>
        <w:t xml:space="preserve"> = 0.58 does not, so H3 is bounded to the cell-level association at N = 36 cases).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One register-level honesty is owed. The role-system framing here is offered at a moment in which AI-in-research is among the field's most fashion-vulnerable topics (Starbuck, 2009 on never-ending faddishness in social-science research), and the cumulative-knowledge value of this paper depends on whether the rubric travels to a 2027–2030 capability regime we have not yet observed. We do not assume it will. The pre-committed 2027 hold-out, the human second-coder pass, and the parallel-rubric application by independent groups are jointly the disconfirmation apparatus on which the paper's durability rests; in their absence, this audit should be read as a candidate framework rather than an established one.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p>
      <w:pPr>
        <w:pStyle w:val="ListBullet"/>
      </w:pPr>
      <w:r>
        <w:t>Welch, Piekkari, Plakoyiannaki, and Paavilainen-Mäntymäki, 2011. Theorising from case studies: Towards a pluralist future for international business research. *Journal of International Business Studies*, 42(5), 740–762. [BG073]</w:t>
      </w:r>
    </w:p>
    <w:p>
      <w:pPr>
        <w:pStyle w:val="ListBullet"/>
      </w:pPr>
      <w:r>
        <w:t>Ramarajan, 2014. Past, present and future research on multiple identities: Toward an intrapersonal network approach. *Academy of Management Annals*, 8(1), 589–659. [BG074]</w:t>
      </w:r>
    </w:p>
    <w:p>
      <w:pPr>
        <w:pStyle w:val="ListBullet"/>
      </w:pPr>
      <w:r>
        <w:t>Eyal and Pok, 2015. From a sociology of professions to a sociology of expertise. In R. Scott &amp; S. Kosslyn (Eds.), *Emerging Trends in the Social and Behavioral Sciences*. Wiley. [BG075]</w:t>
      </w:r>
    </w:p>
    <w:p>
      <w:pPr>
        <w:pStyle w:val="ListBullet"/>
      </w:pPr>
      <w:r>
        <w:t>Eloundou, Manning, Mishkin, and Rock, 2023. GPTs are GPTs: An early look at the labor market impact potential of large language models. *arXiv:2303.10130*. [BG076]</w:t>
      </w:r>
    </w:p>
    <w:p>
      <w:pPr>
        <w:pStyle w:val="ListBullet"/>
      </w:pPr>
      <w:r>
        <w:t>Felten, Raj, and Seamans, 2023. How will language modelers like ChatGPT affect occupations and industries? *arXiv:2303.01157*. [BG077]</w:t>
      </w:r>
    </w:p>
    <w:p>
      <w:pPr>
        <w:pStyle w:val="ListBullet"/>
      </w:pPr>
      <w:r>
        <w:t>Woolley, Chabris, Pentland, Hashmi, and Malone, 2010. Evidence for a collective intelligence factor in the performance of human groups. *Science*, 330(6004), 686–688. [BG078]</w:t>
      </w:r>
    </w:p>
    <w:p>
      <w:pPr>
        <w:pStyle w:val="ListBullet"/>
      </w:pPr>
      <w:r>
        <w:t>Pratt, Kaplan, and Whittington, 2020. Editorial essay: The tumult over transparency: Decoupling transparency from replication in establishing trustworthy qualitative research. *Administrative Science Quarterly*, 65(1), 1–19. [BG079]</w:t>
      </w:r>
    </w:p>
    <w:p>
      <w:pPr>
        <w:pStyle w:val="ListBullet"/>
      </w:pPr>
      <w:r>
        <w:t>Puranam, 2021. Human-AI collaborative decision-making as an organization design problem. *Journal of Organization Design*, 10(2), 75–80. [BG080]</w:t>
      </w:r>
    </w:p>
    <w:p>
      <w:pPr>
        <w:pStyle w:val="ListBullet"/>
      </w:pPr>
      <w:r>
        <w:t>Puranam, Alexy, and Reitzig, 2014. What's "new" about new forms of organizing? *Academy of Management Review*, 39(2), 162–180. [BG081]</w:t>
      </w:r>
    </w:p>
    <w:p>
      <w:pPr>
        <w:pStyle w:val="ListBullet"/>
      </w:pPr>
      <w:r>
        <w:t>Orlikowski, 2007. Sociomaterial practices: Exploring technology at work. *Organization Studies*, 28(9), 1435–1448. [BG082]</w:t>
      </w:r>
    </w:p>
    <w:p>
      <w:pPr>
        <w:pStyle w:val="ListBullet"/>
      </w:pPr>
      <w:r>
        <w:t>Orlikowski and Scott, 2008. Sociomateriality: Challenging the separation of technology, work and organization. *Academy of Management Annals*, 2(1), 433–474. [BG083]</w:t>
      </w:r>
    </w:p>
    <w:p>
      <w:pPr>
        <w:pStyle w:val="ListBullet"/>
      </w:pPr>
      <w:r>
        <w:t>Suchman, 2007. *Human-Machine Reconfigurations: Plans and Situated Actions* (2nd ed.). Cambridge University Press. [BG084]</w:t>
      </w:r>
    </w:p>
    <w:p>
      <w:pPr>
        <w:pStyle w:val="ListBullet"/>
      </w:pPr>
      <w:r>
        <w:t>Vandenberg and Lance, 2000. A review and synthesis of the measurement invariance literature: Suggestions, practices, and recommendations for organizational research. *Organizational Research Methods*, 3(1), 4–70. [BG085]</w:t>
      </w:r>
    </w:p>
    <w:p>
      <w:pPr>
        <w:pStyle w:val="ListBullet"/>
      </w:pPr>
      <w:r>
        <w:t>Salganik, 2018. *Bit by Bit: Social Research in the Digital Age*. Princeton University Press. [BG086]</w:t>
      </w:r>
    </w:p>
    <w:p>
      <w:pPr>
        <w:pStyle w:val="ListBullet"/>
      </w:pPr>
      <w:r>
        <w:t>Salganik, Lundberg, Kindel, et al., 2020. Measuring the predictability of life outcomes with a scientific mass collaboration. *Proceedings of the National Academy of Sciences*, 117(15), 8398–8403. [BG087]</w:t>
      </w:r>
    </w:p>
    <w:p>
      <w:pPr>
        <w:pStyle w:val="ListBullet"/>
      </w:pPr>
      <w:r>
        <w:t>Bechky, 2003. Object lessons: Workplace artifacts as representations of occupational jurisdiction. *American Journal of Sociology*, 109(3), 720–752. [BG088]</w:t>
      </w:r>
    </w:p>
    <w:p>
      <w:pPr>
        <w:pStyle w:val="ListBullet"/>
      </w:pPr>
      <w:r>
        <w:t>Gioia, Corley, and Hamilton, 2013. Seeking qualitative rigor in inductive research: Notes on the Gioia methodology. *Organizational Research Methods*, 16(1), 15–31. [BG089]</w:t>
      </w:r>
    </w:p>
    <w:p>
      <w:pPr>
        <w:pStyle w:val="ListBullet"/>
      </w:pPr>
      <w:r>
        <w:t>Edwards and Bagozzi, 2000. On the nature and direction of relationships between constructs and measures. *Psychological Methods*, 5(2), 155–174. [BG090]</w:t>
      </w:r>
    </w:p>
    <w:p>
      <w:pPr>
        <w:pStyle w:val="ListBullet"/>
      </w:pPr>
      <w:r>
        <w:t>King, Keohane, and Verba, 1994. *Designing Social Inquiry: Scientific Inference in Qualitative Research*. Princeton University Press. [BG091]</w:t>
      </w:r>
    </w:p>
    <w:p>
      <w:pPr>
        <w:pStyle w:val="ListBullet"/>
      </w:pPr>
      <w:r>
        <w:t>Whetten, 1989. What constitutes a theoretical contribution? *Academy of Management Review*, 14(4), 490–495. [BG092]</w:t>
      </w:r>
    </w:p>
    <w:p>
      <w:pPr>
        <w:pStyle w:val="ListBullet"/>
      </w:pPr>
      <w:r>
        <w:t>Locke, Golden-Biddle, and Feldman, 2008. Making doubt generative: Rethinking the role of doubt in the research process. *Organization Science*, 19(6), 907–918. [BG093]</w:t>
      </w:r>
    </w:p>
    <w:p>
      <w:pPr>
        <w:pStyle w:val="ListBullet"/>
      </w:pPr>
      <w:r>
        <w:t>Locke, 2007. Rational control and irrational free-play: Dual-thinking modes as necessary tension in grounded theorizing. *Organization Studies*, 28(6), 867–891. [BG094]</w:t>
      </w:r>
    </w:p>
    <w:p>
      <w:pPr>
        <w:pStyle w:val="ListBullet"/>
      </w:pPr>
      <w:r>
        <w:t>Barley, 1986. Technology as an occasion for structuring: Evidence from observations of CT scanners and the social order of radiology departments. *Administrative Science Quarterly*, 31(1), 78–108. [BG095]</w:t>
      </w:r>
    </w:p>
    <w:p>
      <w:pPr>
        <w:pStyle w:val="ListBullet"/>
      </w:pPr>
      <w:r>
        <w:t>Barley and Kunda, 2001. Bringing work back in. *Organization Science*, 12(1), 76–95. [BG096]</w:t>
      </w:r>
    </w:p>
    <w:p>
      <w:pPr>
        <w:pStyle w:val="ListBullet"/>
      </w:pPr>
      <w:r>
        <w:t>Suddaby, 2010. Editor's comments: Construct clarity in theories of management and organization. *Academy of Management Review*, 35(3), 346–360. [BG097]</w:t>
      </w:r>
    </w:p>
    <w:p>
      <w:pPr>
        <w:pStyle w:val="ListBullet"/>
      </w:pPr>
      <w:r>
        <w:t>Suddaby and Greenwood, 2005. Rhetorical strategies of legitimacy. *Administrative Science Quarterly*, 50(1), 35–67. [BG098]</w:t>
      </w:r>
    </w:p>
    <w:p>
      <w:pPr>
        <w:pStyle w:val="ListBullet"/>
      </w:pPr>
      <w:r>
        <w:t>Knorr Cetina, 1999. *Epistemic Cultures: How the Sciences Make Knowledge*. Harvard University Press. [BG099]</w:t>
      </w:r>
    </w:p>
    <w:p>
      <w:pPr>
        <w:pStyle w:val="ListBullet"/>
      </w:pPr>
      <w:r>
        <w:t>Tilcsik, 2010. From ritual to reality: Demography, ideology, and decoupling in a post-communist government agency. *Academy of Management Journal*, 53(6), 1474–1498. [BG100]</w:t>
      </w:r>
    </w:p>
    <w:p>
      <w:pPr>
        <w:pStyle w:val="ListBullet"/>
      </w:pPr>
      <w:r>
        <w:t>Haas, 1992. Introduction: Epistemic communities and international policy coordination. *International Organization*, 46(1), 1–35. [BG101]</w:t>
      </w:r>
    </w:p>
    <w:p>
      <w:pPr>
        <w:pStyle w:val="ListBullet"/>
      </w:pPr>
      <w:r>
        <w:t>Williams, Hartman, and Cavazotte, 2010. Method variance and marker variables: A review and comprehensive CFA marker technique. *Organizational Research Methods*, 13(3), 477–514. [BG102]</w:t>
      </w:r>
    </w:p>
    <w:p>
      <w:pPr>
        <w:pStyle w:val="ListBullet"/>
      </w:pPr>
      <w:r>
        <w:t>Williams and McGonagle, 2016. Four research designs and a comprehensive analysis strategy for investigating common method variance. *Journal of Business and Psychology*, 31(3), 339–359. [BG103]</w:t>
      </w:r>
    </w:p>
    <w:p>
      <w:pPr>
        <w:pStyle w:val="ListBullet"/>
      </w:pPr>
      <w:r>
        <w:t>Lord, Foti, and DeVader, 1984. A test of leadership categorization theory: Internal structure, information processing, and leadership perceptions. *Organizational Behavior and Human Performance*, 34(3), 343–378. [BG104]</w:t>
      </w:r>
    </w:p>
    <w:p>
      <w:pPr>
        <w:pStyle w:val="ListBullet"/>
      </w:pPr>
      <w:r>
        <w:t>Lord, Brown, Harvey, and Hall, 2001. Contextual constraints on prototype generation and their multilevel consequences for leadership perceptions. *Leadership Quarterly*, 12(3), 311–338. [BG105]</w:t>
      </w:r>
    </w:p>
    <w:p>
      <w:pPr>
        <w:pStyle w:val="ListBullet"/>
      </w:pPr>
      <w:r>
        <w:t>Eisenhardt and Graebner, 2007. Theory building from cases: Opportunities and challenges. *Academy of Management Journal*, 50(1), 25–32. [BG106]</w:t>
      </w:r>
    </w:p>
    <w:p>
      <w:pPr>
        <w:pStyle w:val="ListBullet"/>
      </w:pPr>
      <w:r>
        <w:t>Faraj, Pachidi, and Sayegh, 2018. Working and organizing in the age of the learning algorithm. *Information and Organization*, 28(1), 62–70. [BG107]</w:t>
      </w:r>
    </w:p>
    <w:p>
      <w:pPr>
        <w:pStyle w:val="ListBullet"/>
      </w:pPr>
      <w:r>
        <w:t>Faraj and Pachidi, 2021. Beyond Uberization: The co-constitution of technology and organizing. *Organization Theory*, 2(1), 1–14. [BG108]</w:t>
      </w:r>
    </w:p>
    <w:p>
      <w:pPr>
        <w:pStyle w:val="ListBullet"/>
      </w:pPr>
      <w:r>
        <w:t>Starbuck, 2009. The constant causes of never-ending faddishness in the behavioral and social sciences. *Scandinavian Journal of Management*, 25(1), 108–116. [BG109]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