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One orientation note before the evidence. The configurational evidence presented in this subsection is auxiliary to the paper's load-bearing claim, which is the typology's mutual-exclusivity within (role × case) cells, not the configurational lift; the configurational vocabulary is interpretive scaffolding for the role-segmentation finding rather than an independent inferential channel (Cornelissen, Höllerer, &amp; Seidl, 2021 on theorizing forms in organization studies). 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As in §3.1, the configurational vocabulary here is interpretive scaffolding for the typology's role-segmentation finding rather than an independent inferential channel. With that orientation: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 </w:t>
      </w:r>
      <w:r>
        <w:rPr>
          <w:rFonts w:ascii="Consolas" w:hAnsi="Consolas"/>
          <w:sz w:val="21"/>
        </w:rPr>
        <w:t>scripts/section6_analysis.py</w:t>
      </w:r>
      <w:r>
        <w:t xml:space="preserve"> (MIT), which reproduces every numeric value in §6 — χ² = 87.67, Monte-Carlo </w:t>
      </w:r>
      <w:r>
        <w:rPr>
          <w:i/>
        </w:rPr>
        <w:t>p</w:t>
      </w:r>
      <w:r>
        <w:t xml:space="preserve"> = 0.0001 (seed 20260423), Cramér's V = 0.260, V_family = 0.267 on the 204 high-confidence rows, and the sign-test </w:t>
      </w:r>
      <w:r>
        <w:rPr>
          <w:i/>
        </w:rPr>
        <w:t>p</w:t>
      </w:r>
      <w:r>
        <w:t xml:space="preserve"> = 0.004.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The H3 verdict rests on the per-role paired Wilcoxon signed-rank across 16 roles with defined V (</w:t>
      </w:r>
      <w:r>
        <w:rPr>
          <w:i/>
        </w:rPr>
        <w:t>W</w:t>
      </w:r>
      <w:r>
        <w:t xml:space="preserve"> = 7, </w:t>
      </w:r>
      <w:r>
        <w:rPr>
          <w:i/>
        </w:rPr>
        <w:t>p</w:t>
      </w:r>
      <w:r>
        <w:t xml:space="preserve"> = 0.0006; sign-test companion </w:t>
      </w:r>
      <w:r>
        <w:rPr>
          <w:i/>
        </w:rPr>
        <w:t>p</w:t>
      </w:r>
      <w:r>
        <w:t xml:space="preserve"> = 0.004);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The second-coder pass was performed by a sandboxed large-language-model agent with context restricted to the rubric and the case files; this is a weaker reliability test than a human second coder would provide, and we report the resulting κ as a conservative lower bound and flag a human second-coder pass as an unmet commitment.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For prevalence-imbalance-robustness, we additionally compute </w:t>
      </w:r>
      <w:r>
        <w:rPr>
          <w:b/>
        </w:rPr>
        <w:t>Krippendorff's α</w:t>
      </w:r>
      <w:r>
        <w:t xml:space="preserve"> (Krippendorff, 2011; Hayes &amp; Krippendorff, 2007), which on the 7-category collapsed scheme yields α = 0.278 and on the full 8-category scheme yields α = 0.298 — within 0.011 of κ on the same data. The convergence of α and κ at this level indicates the failure is not a κ-prevalence-asymmetry artifact: both statistics return the same diagnostic. The result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We read this as construct-validity-relevant in the Cronbach-Meehl-Messick-Borsboom sense (Cronbach &amp; Meehl, 1955; Messick, 1995; Borsboom et al., 2004): the two failing categories are not a procedural disagreement on observable anchors but a category-meaning gap between coders. There is also an identity-theoretic reading worth flagging (Ramarajan, 2014): </w:t>
      </w:r>
      <w:r>
        <w:rPr>
          <w:i/>
        </w:rPr>
        <w:t>robust</w:t>
      </w:r>
      <w:r>
        <w:t xml:space="preserve"> and </w:t>
      </w:r>
      <w:r>
        <w:rPr>
          <w:i/>
        </w:rPr>
        <w:t>shrinking</w:t>
      </w:r>
      <w:r>
        <w:t xml:space="preserve"> describe role </w:t>
      </w:r>
      <w:r>
        <w:rPr>
          <w:i/>
        </w:rPr>
        <w:t>states</w:t>
      </w:r>
      <w:r>
        <w:t xml:space="preserve"> legible at a single time-point, while </w:t>
      </w:r>
      <w:r>
        <w:rPr>
          <w:i/>
        </w:rPr>
        <w:t>conditional</w:t>
      </w:r>
      <w:r>
        <w:t xml:space="preserve"> (role contingent on moderators) and </w:t>
      </w:r>
      <w:r>
        <w:rPr>
          <w:i/>
        </w:rPr>
        <w:t>transformed</w:t>
      </w:r>
      <w:r>
        <w:t xml:space="preserve"> (role content under revision) describe role </w:t>
      </w:r>
      <w:r>
        <w:rPr>
          <w:i/>
        </w:rPr>
        <w:t>transitions</w:t>
      </w:r>
      <w:r>
        <w:t xml:space="preserve"> — and transitions are inherently noisier to code from a single case-text snapshot than states are. A longitudinal reliability test that asks whether two coders agree on transition </w:t>
      </w:r>
      <w:r>
        <w:rPr>
          <w:i/>
        </w:rPr>
        <w:t>direction</w:t>
      </w:r>
      <w:r>
        <w:t xml:space="preserve"> across two time-points (rather than transition </w:t>
      </w:r>
      <w:r>
        <w:rPr>
          <w:i/>
        </w:rPr>
        <w:t>classification</w:t>
      </w:r>
      <w:r>
        <w:t xml:space="preserve"> at one time-point) is therefore a more appropriate v1.1 instrument for those two statuses, and the dominant disagreement axis we observe — whether a role is observable at all (see Appendix B) — is consistent with both readings.</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Wilcoxon signed-rank across the 16 roles for which V is defined, which yields </w:t>
      </w:r>
      <w:r>
        <w:rPr>
          <w:i/>
        </w:rPr>
        <w:t>W</w:t>
      </w:r>
      <w:r>
        <w:t xml:space="preserve"> = 7, </w:t>
      </w:r>
      <w:r>
        <w:rPr>
          <w:i/>
        </w:rPr>
        <w:t>p</w:t>
      </w:r>
      <w:r>
        <w:t xml:space="preserve"> = 0.0006; we promote Wilcoxon over the parallel paired sign test because it uses the magnitude of paired V differences rather than only their sign. The paired sign test, retained as a robustness companion, returns 14 positive differences out of 16 (two-sided binomial </w:t>
      </w:r>
      <w:r>
        <w:rPr>
          <w:i/>
        </w:rPr>
        <w:t>p</w:t>
      </w:r>
      <w:r>
        <w:t xml:space="preserve"> = 0.004).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and indeed sits within the attenuation introduced by an instrument with κ = 0.289 (the V values are not corrected for instrument unreliability and disattenuation would shift both upward by similar amounts).</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The pre-specified confirmatory family for H1–H3 contains six tests, against which a Holm step-down correction is applied at α = 0.05 (computed in </w:t>
      </w:r>
      <w:r>
        <w:rPr>
          <w:rFonts w:ascii="Consolas" w:hAnsi="Consolas"/>
          <w:sz w:val="21"/>
        </w:rPr>
        <w:t>scripts/section6_analysis.py</w:t>
      </w:r>
      <w:r>
        <w:t xml:space="preserve">): (1) cell-level Monte-Carlo on case family (raw </w:t>
      </w:r>
      <w:r>
        <w:rPr>
          <w:i/>
        </w:rPr>
        <w:t>p</w:t>
      </w:r>
      <w:r>
        <w:t xml:space="preserve"> = 0.0002, Holm-adjusted </w:t>
      </w:r>
      <w:r>
        <w:rPr>
          <w:i/>
        </w:rPr>
        <w:t>p</w:t>
      </w:r>
      <w:r>
        <w:t xml:space="preserve"> = 0.0012); (2) per-role Wilcoxon signed-rank (raw </w:t>
      </w:r>
      <w:r>
        <w:rPr>
          <w:i/>
        </w:rPr>
        <w:t>p</w:t>
      </w:r>
      <w:r>
        <w:t xml:space="preserve"> = 0.0006, Holm-adjusted </w:t>
      </w:r>
      <w:r>
        <w:rPr>
          <w:i/>
        </w:rPr>
        <w:t>p</w:t>
      </w:r>
      <w:r>
        <w:t xml:space="preserve"> = 0.003); (3) cell-level Monte-Carlo on AI capability (raw </w:t>
      </w:r>
      <w:r>
        <w:rPr>
          <w:i/>
        </w:rPr>
        <w:t>p</w:t>
      </w:r>
      <w:r>
        <w:t xml:space="preserve"> = 0.0012, Holm-adjusted </w:t>
      </w:r>
      <w:r>
        <w:rPr>
          <w:i/>
        </w:rPr>
        <w:t>p</w:t>
      </w:r>
      <w:r>
        <w:t xml:space="preserve"> = 0.005); (4) per-role paired sign test (raw </w:t>
      </w:r>
      <w:r>
        <w:rPr>
          <w:i/>
        </w:rPr>
        <w:t>p</w:t>
      </w:r>
      <w:r>
        <w:t xml:space="preserve"> = 0.004, Holm-adjusted </w:t>
      </w:r>
      <w:r>
        <w:rPr>
          <w:i/>
        </w:rPr>
        <w:t>p</w:t>
      </w:r>
      <w:r>
        <w:t xml:space="preserve"> = 0.013); (5) case-level Monte-Carlo on case family (raw </w:t>
      </w:r>
      <w:r>
        <w:rPr>
          <w:i/>
        </w:rPr>
        <w:t>p</w:t>
      </w:r>
      <w:r>
        <w:t xml:space="preserve"> = 0.58, Holm-adjusted </w:t>
      </w:r>
      <w:r>
        <w:rPr>
          <w:i/>
        </w:rPr>
        <w:t>p</w:t>
      </w:r>
      <w:r>
        <w:t xml:space="preserve"> = 0.58); and (6) case-level Monte-Carlo on AI capability (raw </w:t>
      </w:r>
      <w:r>
        <w:rPr>
          <w:i/>
        </w:rPr>
        <w:t>p</w:t>
      </w:r>
      <w:r>
        <w:t xml:space="preserve"> = 0.33, Holm-adjusted </w:t>
      </w:r>
      <w:r>
        <w:rPr>
          <w:i/>
        </w:rPr>
        <w:t>p</w:t>
      </w:r>
      <w:r>
        <w:t xml:space="preserve"> = 0.66). Tests (1)–(4) survive Holm correction; tests (5) and (6) do not.</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We frame these predictions in the </w:t>
      </w:r>
      <w:r>
        <w:rPr>
          <w:i/>
        </w:rPr>
        <w:t>inductive-extension</w:t>
      </w:r>
      <w:r>
        <w:t xml:space="preserve"> mode (Welch, Piekkari, Plakoyiannaki, &amp; Paavilainen-Mäntymäki, 2011 on theorizing forms in case research; Cornelissen, Höllerer, &amp; Seidl, 2021 on the importance of declaring theorizing form): they extrapolate from observed configurational signals to as-yet-unobserved (case × year) cells rather than deductively prove anything from a closed theory. They are corrigible by future cases, and the falsifying observations are pre-specified.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is silent on whether the merge appears at the level of an individual researcher's two-role attachment or at the level of a research-team reorganization of who signs off on what (Woolley et al., 2010 on team-level division of labor versus individual role attachment), and both observation modes count as confirmatory.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here too, the prediction is silent on whether the transformation occurs through change in an individual researcher's role content or through reallocation of who in the team performs which sub-task. These predictions are empirically testable against a 2027 extension of the repository and are offered as falsifiable extensions of the framework, not as established findings. Each prediction is conditional on the 2027 capability distribution being a smooth continuation of the 2024–2026 window the rubric was built on; if frontier capability shifts produce a structurally different distribution (e.g., reliable multi-day autonomy at scale, or a measurement-bias regime not captured by the current generative/agentic/predictive triad), the predictions are not falsified so much as rendered out-of-distribution (Bail, 2024 on the moving-target risk for AI-in-social-science frameworks).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repository-level top-anchor compliance.</w:t>
      </w:r>
      <w:r>
        <w:t xml:space="preserve"> One imperative per status, with the exemplar case from §3.0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Authors should…</w:t>
            </w:r>
          </w:p>
        </w:tc>
        <w:tc>
          <w:tcPr>
            <w:tcW w:type="dxa" w:w="2160"/>
          </w:tcPr>
          <w:p>
            <w:r>
              <w:rPr>
                <w:b/>
              </w:rPr>
            </w:r>
            <w:r>
              <w:rPr>
                <w:b/>
              </w:rPr>
              <w:t>Exemplar case</w:t>
            </w:r>
          </w:p>
        </w:tc>
        <w:tc>
          <w:tcPr>
            <w:tcW w:type="dxa" w:w="2160"/>
          </w:tcPr>
          <w:p>
            <w:r>
              <w:rPr>
                <w:b/>
              </w:rPr>
            </w:r>
            <w:r>
              <w:rPr>
                <w:b/>
              </w:rPr>
              <w:t>Repository compliance</w:t>
            </w:r>
          </w:p>
        </w:tc>
      </w:tr>
      <w:tr>
        <w:tc>
          <w:tcPr>
            <w:tcW w:type="dxa" w:w="2160"/>
          </w:tcPr>
          <w:p>
            <w:r/>
            <w:r>
              <w:t>Robust</w:t>
            </w:r>
          </w:p>
        </w:tc>
        <w:tc>
          <w:tcPr>
            <w:tcW w:type="dxa" w:w="2160"/>
          </w:tcPr>
          <w:p>
            <w:r/>
            <w:r>
              <w:t>…tie the role to at least one inferential claim in methods or limitations; specify why AI substitution would degrade validity.</w:t>
            </w:r>
          </w:p>
        </w:tc>
        <w:tc>
          <w:tcPr>
            <w:tcW w:type="dxa" w:w="2160"/>
          </w:tcPr>
          <w:p>
            <w:r/>
            <w:r>
              <w:t>Keith, 2026 / Case 2</w:t>
            </w:r>
          </w:p>
        </w:tc>
        <w:tc>
          <w:tcPr>
            <w:tcW w:type="dxa" w:w="2160"/>
          </w:tcPr>
          <w:p>
            <w:r/>
            <w:r>
              <w:t>15 / 36 cases carry ≥ 1 robust coding for a starting role (42%)</w:t>
            </w:r>
          </w:p>
        </w:tc>
      </w:tr>
      <w:tr>
        <w:tc>
          <w:tcPr>
            <w:tcW w:type="dxa" w:w="2160"/>
          </w:tcPr>
          <w:p>
            <w:r/>
            <w:r>
              <w:t>Conditional</w:t>
            </w:r>
          </w:p>
        </w:tc>
        <w:tc>
          <w:tcPr>
            <w:tcW w:type="dxa" w:w="2160"/>
          </w:tcPr>
          <w:p>
            <w:r/>
            <w:r>
              <w:t>…name at least one moderator variable (task feature, data property, or institutional setting) under which human performance is required; report empirical variation in AI adequacy across that moderator.</w:t>
            </w:r>
          </w:p>
        </w:tc>
        <w:tc>
          <w:tcPr>
            <w:tcW w:type="dxa" w:w="2160"/>
          </w:tcPr>
          <w:p>
            <w:r/>
            <w:r>
              <w:t>Baccolini, 2026 / Case 7</w:t>
            </w:r>
          </w:p>
        </w:tc>
        <w:tc>
          <w:tcPr>
            <w:tcW w:type="dxa" w:w="2160"/>
          </w:tcPr>
          <w:p>
            <w:r/>
            <w:r>
              <w:t>92 / 612 cells coded conditional (15%)</w:t>
            </w:r>
          </w:p>
        </w:tc>
      </w:tr>
      <w:tr>
        <w:tc>
          <w:tcPr>
            <w:tcW w:type="dxa" w:w="2160"/>
          </w:tcPr>
          <w:p>
            <w:r/>
            <w:r>
              <w:t>Transformed</w:t>
            </w:r>
          </w:p>
        </w:tc>
        <w:tc>
          <w:tcPr>
            <w:tcW w:type="dxa" w:w="2160"/>
          </w:tcPr>
          <w:p>
            <w:r/>
            <w:r>
              <w:t>…use before/after language or a verb swap; name new sub-tasks (disclosure, credit allocation, calibration audit) as new rather than as extensions.</w:t>
            </w:r>
          </w:p>
        </w:tc>
        <w:tc>
          <w:tcPr>
            <w:tcW w:type="dxa" w:w="2160"/>
          </w:tcPr>
          <w:p>
            <w:r/>
            <w:r>
              <w:t>Yin, n.d. / Case 29</w:t>
            </w:r>
          </w:p>
        </w:tc>
        <w:tc>
          <w:tcPr>
            <w:tcW w:type="dxa" w:w="2160"/>
          </w:tcPr>
          <w:p>
            <w:r/>
            <w:r>
              <w:t>30 / 612 cells coded transformed (4.9%)</w:t>
            </w:r>
          </w:p>
        </w:tc>
      </w:tr>
      <w:tr>
        <w:tc>
          <w:tcPr>
            <w:tcW w:type="dxa" w:w="2160"/>
          </w:tcPr>
          <w:p>
            <w:r/>
            <w:r>
              <w:t>Shrinking</w:t>
            </w:r>
          </w:p>
        </w:tc>
        <w:tc>
          <w:tcPr>
            <w:tcW w:type="dxa" w:w="2160"/>
          </w:tcPr>
          <w:p>
            <w:r/>
            <w:r>
              <w:t>…report the public ground truth or high-consensus target; characterize residual human labor as rescue, triage, or verification; do not extend the shrinkage claim to role-layer disappearance.</w:t>
            </w:r>
          </w:p>
        </w:tc>
        <w:tc>
          <w:tcPr>
            <w:tcW w:type="dxa" w:w="2160"/>
          </w:tcPr>
          <w:p>
            <w:r/>
            <w:r>
              <w:t>Tornberg, 2025 / Case 1</w:t>
            </w:r>
          </w:p>
        </w:tc>
        <w:tc>
          <w:tcPr>
            <w:tcW w:type="dxa" w:w="2160"/>
          </w:tcPr>
          <w:p>
            <w:r/>
            <w:r>
              <w:t>40 / 612 cells coded shrinking (6.5%), concentrated in 11 cases</w:t>
            </w:r>
          </w:p>
        </w:tc>
      </w:tr>
      <w:tr>
        <w:tc>
          <w:tcPr>
            <w:tcW w:type="dxa" w:w="2160"/>
          </w:tcPr>
          <w:p>
            <w:r/>
            <w:r>
              <w:t>Split pressure</w:t>
            </w:r>
          </w:p>
        </w:tc>
        <w:tc>
          <w:tcPr>
            <w:tcW w:type="dxa" w:w="2160"/>
          </w:tcPr>
          <w:p>
            <w:r/>
            <w:r>
              <w:t>…show that AI performance differs across the conflated sub-activities; distinguish the sub-activities in the analysis and revise the typology accordingly.</w:t>
            </w:r>
          </w:p>
        </w:tc>
        <w:tc>
          <w:tcPr>
            <w:tcW w:type="dxa" w:w="2160"/>
          </w:tcPr>
          <w:p>
            <w:r/>
            <w:r>
              <w:t>Gligorić, n.d. / Case 3</w:t>
            </w:r>
          </w:p>
        </w:tc>
        <w:tc>
          <w:tcPr>
            <w:tcW w:type="dxa" w:w="2160"/>
          </w:tcPr>
          <w:p>
            <w:r/>
            <w:r>
              <w:t>39 / 612 cells flagged split pressure (6.4%); 7 of 8 starting roles triggered</w:t>
            </w:r>
          </w:p>
        </w:tc>
      </w:tr>
      <w:tr>
        <w:tc>
          <w:tcPr>
            <w:tcW w:type="dxa" w:w="2160"/>
          </w:tcPr>
          <w:p>
            <w:r/>
            <w:r>
              <w:t>Merge pressure</w:t>
            </w:r>
          </w:p>
        </w:tc>
        <w:tc>
          <w:tcPr>
            <w:tcW w:type="dxa" w:w="2160"/>
          </w:tcPr>
          <w:p>
            <w:r/>
            <w:r>
              <w:t>…report evidence that the two roles are inseparable in practice within the case; treat them as a joint object rather than as independent activities.</w:t>
            </w:r>
          </w:p>
        </w:tc>
        <w:tc>
          <w:tcPr>
            <w:tcW w:type="dxa" w:w="2160"/>
          </w:tcPr>
          <w:p>
            <w:r/>
            <w:r>
              <w:t>Hajishirzi, 2026 / Case 10</w:t>
            </w:r>
          </w:p>
        </w:tc>
        <w:tc>
          <w:tcPr>
            <w:tcW w:type="dxa" w:w="2160"/>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with explicitly differentiated levels of inferential support — boundary-setting and procedure-setting roles survive more often than routine production clusters (H1), shrinkage clusters where auditability and public ground truth are strongest (H2), and case family is a stronger </w:t>
      </w:r>
      <w:r>
        <w:rPr>
          <w:i/>
        </w:rPr>
        <w:t>cell-level</w:t>
      </w:r>
      <w:r>
        <w:t xml:space="preserve"> associate of role status than AI capability (H3; per-role Wilcoxon </w:t>
      </w:r>
      <w:r>
        <w:rPr>
          <w:i/>
        </w:rPr>
        <w:t>p</w:t>
      </w:r>
      <w:r>
        <w:t xml:space="preserve"> = 0.0006 and cell-level Monte-Carlo </w:t>
      </w:r>
      <w:r>
        <w:rPr>
          <w:i/>
        </w:rPr>
        <w:t>p</w:t>
      </w:r>
      <w:r>
        <w:t xml:space="preserve"> = 0.0002 both survive Holm correction, but the clustering-aware case-level Monte-Carlo </w:t>
      </w:r>
      <w:r>
        <w:rPr>
          <w:i/>
        </w:rPr>
        <w:t>p</w:t>
      </w:r>
      <w:r>
        <w:t xml:space="preserve"> = 0.58 does not, so H3 is bounded to the cell-level association at N = 36 cases).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p>
      <w:pPr>
        <w:pStyle w:val="ListBullet"/>
      </w:pPr>
      <w:r>
        <w:t>Woolley, Chabris, Pentland, Hashmi, and Malone, 2010. Evidence for a collective intelligence factor in the performance of human groups. *Science*, 330(6004), 686–688. [BG078]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