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公共工程補充契約（第四輪 Word 驗收）</w:t>
      </w:r>
    </w:p>
    <w:p>
      <w:r>
        <w:t>第 21 條：承攬廠商應於材料進場前 10 日提送材料送審文件，經監造核備後始得使用。</w:t>
      </w:r>
    </w:p>
    <w:p>
      <w:r>
        <w:t>應留存材料型錄、試驗報告及核備紀錄。原文識別：R4-DOCX-MATERIAL-10D。</w:t>
      </w:r>
    </w:p>
    <w:p>
      <w:r>
        <w:t>第 22 條：缺失通知後 3 日內提出改善計畫。逾期每日扣款新臺幣 2,000 元。</w:t>
      </w:r>
    </w:p>
    <w:p>
      <w:r>
        <w:t>DOCX 無可靠頁界，擷取來源不得偽造頁碼。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