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4F72"/>
          <w:sz w:val="48"/>
          <w:szCs w:val="48"/>
        </w:rPr>
        <w:t xml:space="preserve">TORONTO PM2.5 ALERT SYSTEM</w:t>
      </w:r>
    </w:p>
    <w:p>
      <w:pPr>
        <w:spacing w:after="80"/>
        <w:jc w:val="center"/>
      </w:pPr>
      <w:r>
        <w:rPr>
          <w:rFonts w:ascii="Arial" w:cs="Arial" w:eastAsia="Arial" w:hAnsi="Arial"/>
          <w:color w:val="2E86C1"/>
          <w:sz w:val="34"/>
          <w:szCs w:val="34"/>
        </w:rPr>
        <w:t xml:space="preserve">Complete Methodology</w:t>
      </w:r>
    </w:p>
    <w:p>
      <w:pPr>
        <w:spacing w:after="300"/>
        <w:jc w:val="center"/>
      </w:pPr>
      <w:r>
        <w:rPr>
          <w:rFonts w:ascii="Arial" w:cs="Arial" w:eastAsia="Arial" w:hAnsi="Arial"/>
          <w:color w:val="555555"/>
          <w:sz w:val="24"/>
          <w:szCs w:val="24"/>
        </w:rPr>
        <w:t xml:space="preserve">Historical Validation and Operational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4F72" w:sz="3"/>
              <w:left w:val="single" w:color="1B4F72" w:sz="3"/>
              <w:bottom w:val="single" w:color="1B4F72" w:sz="3"/>
              <w:right w:val="single" w:color="1B4F72" w:sz="3"/>
            </w:tcBorders>
            <w:shd w:fill="EBF5FB" w:val="clear"/>
            <w:tcMar>
              <w:top w:type="dxa" w:w="150"/>
              <w:left w:type="dxa" w:w="200"/>
              <w:bottom w:type="dxa" w:w="150"/>
              <w:right w:type="dxa" w:w="200"/>
            </w:tcMar>
          </w:tcPr>
          <w:p>
            <w:pPr>
              <w:spacing w:after="80"/>
            </w:pPr>
            <w:r>
              <w:rPr>
                <w:rFonts w:ascii="Arial" w:cs="Arial" w:eastAsia="Arial" w:hAnsi="Arial"/>
                <w:b/>
                <w:bCs/>
                <w:color w:val="1B4F72"/>
                <w:sz w:val="22"/>
                <w:szCs w:val="22"/>
              </w:rPr>
              <w:t xml:space="preserve">THREE-RULE DETECTION SYSTEM</w:t>
            </w:r>
          </w:p>
          <w:p>
            <w:pPr>
              <w:spacing w:after="40"/>
            </w:pPr>
            <w:r>
              <w:rPr>
                <w:rFonts w:ascii="Arial" w:cs="Arial" w:eastAsia="Arial" w:hAnsi="Arial"/>
                <w:b/>
                <w:bCs/>
                <w:sz w:val="19"/>
                <w:szCs w:val="19"/>
              </w:rPr>
              <w:t xml:space="preserve">Rule 1 – Regional Station Alert: </w:t>
            </w:r>
            <w:r>
              <w:rPr>
                <w:rFonts w:ascii="Arial" w:cs="Arial" w:eastAsia="Arial" w:hAnsi="Arial"/>
                <w:sz w:val="19"/>
                <w:szCs w:val="19"/>
              </w:rPr>
              <w:t xml:space="preserve">Monitors NAPS stations 100–600 km from Toronto. Primary detection for central and eastern Ontario fires.</w:t>
            </w:r>
          </w:p>
          <w:p>
            <w:pPr>
              <w:spacing w:after="40"/>
            </w:pPr>
            <w:r>
              <w:rPr>
                <w:rFonts w:ascii="Arial" w:cs="Arial" w:eastAsia="Arial" w:hAnsi="Arial"/>
                <w:b/>
                <w:bCs/>
                <w:sz w:val="19"/>
                <w:szCs w:val="19"/>
              </w:rPr>
              <w:t xml:space="preserve">Rule 2 – NW Ontario Sequential Detection: </w:t>
            </w:r>
            <w:r>
              <w:rPr>
                <w:rFonts w:ascii="Arial" w:cs="Arial" w:eastAsia="Arial" w:hAnsi="Arial"/>
                <w:sz w:val="19"/>
                <w:szCs w:val="19"/>
              </w:rPr>
              <w:t xml:space="preserve">Two-stage trigger-and-confirm using Thunder Bay (1,000–1,800 km). Extends coverage to northwestern Ontario fires.</w:t>
            </w:r>
          </w:p>
          <w:p>
            <w:pPr>
              <w:spacing w:after="40"/>
            </w:pPr>
            <w:r>
              <w:rPr>
                <w:rFonts w:ascii="Arial" w:cs="Arial" w:eastAsia="Arial" w:hAnsi="Arial"/>
                <w:b/>
                <w:bCs/>
                <w:sz w:val="19"/>
                <w:szCs w:val="19"/>
              </w:rPr>
              <w:t xml:space="preserve">Rule 3 – Quebec NE Corridor Detection: </w:t>
            </w:r>
            <w:r>
              <w:rPr>
                <w:rFonts w:ascii="Arial" w:cs="Arial" w:eastAsia="Arial" w:hAnsi="Arial"/>
                <w:sz w:val="19"/>
                <w:szCs w:val="19"/>
              </w:rPr>
              <w:t xml:space="preserve">Monitors NE corridor stations (Ottawa, Cornwall, Petawawa, Morrisburg) for Quebec fire smoke at 500–1,400 km.</w:t>
            </w:r>
          </w:p>
        </w:tc>
      </w:tr>
    </w:tbl>
    <w:p>
      <w:pPr>
        <w:spacing w:before="400"/>
      </w:pPr>
    </w:p>
    <w:p>
      <w:pPr>
        <w:jc w:val="center"/>
      </w:pPr>
      <w:r>
        <w:rPr>
          <w:rFonts w:ascii="Arial" w:cs="Arial" w:eastAsia="Arial" w:hAnsi="Arial"/>
          <w:color w:val="777777"/>
          <w:sz w:val="22"/>
          <w:szCs w:val="22"/>
        </w:rPr>
        <w:t xml:space="preserve">Version 3.0  |  February 2026</w:t>
      </w:r>
    </w:p>
    <w:p>
      <w:pPr>
        <w:spacing w:before="120"/>
        <w:jc w:val="center"/>
      </w:pPr>
      <w:r>
        <w:rPr>
          <w:rFonts w:ascii="Arial" w:cs="Arial" w:eastAsia="Arial" w:hAnsi="Arial"/>
          <w:i/>
          <w:iCs/>
          <w:color w:val="999999"/>
          <w:sz w:val="18"/>
          <w:szCs w:val="18"/>
        </w:rPr>
        <w:t xml:space="preserve">Companion file: Canadian_City_PM25_Reference_Code.py</w:t>
      </w:r>
    </w:p>
    <w:p>
      <w:r>
        <w:br/>
      </w:r>
    </w:p>
    <w:r>
      <w:br w:type="page"/>
    </w:r>
    <w:p>
      <w:pPr>
        <w:pStyle w:val="Heading1"/>
        <w:spacing w:before="360"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00"/>
        <w:jc w:val="left"/>
      </w:pPr>
      <w:r>
        <w:rPr>
          <w:rFonts w:ascii="Arial" w:cs="Arial" w:eastAsia="Arial" w:hAnsi="Arial"/>
          <w:i/>
          <w:iCs/>
          <w:color w:val="888888"/>
          <w:sz w:val="20"/>
          <w:szCs w:val="20"/>
        </w:rPr>
        <w:t xml:space="preserve">Note: Update this table of contents in Word by right-clicking and selecting “Update Field.”</w:t>
      </w:r>
    </w:p>
    <w:r>
      <w:br w:type="page"/>
    </w:r>
    <w:p>
      <w:pPr>
        <w:pStyle w:val="Heading1"/>
        <w:spacing w:before="360" w:after="200"/>
      </w:pPr>
      <w:r>
        <w:rPr>
          <w:rFonts w:ascii="Arial" w:cs="Arial" w:eastAsia="Arial" w:hAnsi="Arial"/>
          <w:b/>
          <w:bCs/>
          <w:color w:val="1B4F72"/>
          <w:sz w:val="32"/>
          <w:szCs w:val="32"/>
        </w:rPr>
        <w:t xml:space="preserve">1. Purpose</w:t>
      </w:r>
    </w:p>
    <w:p>
      <w:pPr>
        <w:spacing w:after="100"/>
        <w:jc w:val="left"/>
      </w:pPr>
      <w:r>
        <w:rPr>
          <w:rFonts w:ascii="Arial" w:cs="Arial" w:eastAsia="Arial" w:hAnsi="Arial"/>
          <w:sz w:val="20"/>
          <w:szCs w:val="20"/>
        </w:rPr>
        <w:t xml:space="preserve">This document establishes the complete methodology for the Toronto PM2.5 Early Warning Alert System. The system uses three complementary detection rules to identify approaching wildfire smoke and issue advance warnings for the Toronto metropolitan area:</w:t>
      </w:r>
    </w:p>
    <w:p>
      <w:pPr>
        <w:pStyle w:val="ListParagraph"/>
        <w:numPr>
          <w:ilvl w:val="0"/>
          <w:numId w:val="2"/>
        </w:numPr>
        <w:spacing w:after="80"/>
      </w:pPr>
      <w:r>
        <w:rPr>
          <w:rFonts w:ascii="Arial" w:cs="Arial" w:eastAsia="Arial" w:hAnsi="Arial"/>
          <w:b/>
          <w:bCs/>
          <w:sz w:val="20"/>
          <w:szCs w:val="20"/>
        </w:rPr>
        <w:t xml:space="preserve">Rule 1 – Regional Station Alert: </w:t>
      </w:r>
      <w:r>
        <w:rPr>
          <w:rFonts w:ascii="Arial" w:cs="Arial" w:eastAsia="Arial" w:hAnsi="Arial"/>
          <w:sz w:val="20"/>
          <w:szCs w:val="20"/>
        </w:rPr>
        <w:t xml:space="preserve">Detects smoke from fires within approximately 100–600 km of Toronto using regional NAPS monitoring stations. This is the primary detection mechanism for fires in central and eastern Ontario.</w:t>
      </w:r>
    </w:p>
    <w:p>
      <w:pPr>
        <w:pStyle w:val="ListParagraph"/>
        <w:numPr>
          <w:ilvl w:val="0"/>
          <w:numId w:val="2"/>
        </w:numPr>
        <w:spacing w:after="80"/>
      </w:pPr>
      <w:r>
        <w:rPr>
          <w:rFonts w:ascii="Arial" w:cs="Arial" w:eastAsia="Arial" w:hAnsi="Arial"/>
          <w:b/>
          <w:bCs/>
          <w:sz w:val="20"/>
          <w:szCs w:val="20"/>
        </w:rPr>
        <w:t xml:space="preserve">Rule 2 – NW Ontario Sequential Detection: </w:t>
      </w:r>
      <w:r>
        <w:rPr>
          <w:rFonts w:ascii="Arial" w:cs="Arial" w:eastAsia="Arial" w:hAnsi="Arial"/>
          <w:sz w:val="20"/>
          <w:szCs w:val="20"/>
        </w:rPr>
        <w:t xml:space="preserve">Detects smoke from distant fires in northwestern Ontario (1,000–1,800 km) using a two-stage trigger-and-confirm approach. Thunder Bay serves as the initial trigger, with intermediate stations along the NW–SE smoke transport corridor providing confirmation before an alert is issued.</w:t>
      </w:r>
    </w:p>
    <w:p>
      <w:pPr>
        <w:pStyle w:val="ListParagraph"/>
        <w:numPr>
          <w:ilvl w:val="0"/>
          <w:numId w:val="2"/>
        </w:numPr>
        <w:spacing w:after="80"/>
      </w:pPr>
      <w:r>
        <w:rPr>
          <w:rFonts w:ascii="Arial" w:cs="Arial" w:eastAsia="Arial" w:hAnsi="Arial"/>
          <w:b/>
          <w:bCs/>
          <w:sz w:val="20"/>
          <w:szCs w:val="20"/>
        </w:rPr>
        <w:t xml:space="preserve">Rule 3 – Quebec NE Corridor Detection: </w:t>
      </w:r>
      <w:r>
        <w:rPr>
          <w:rFonts w:ascii="Arial" w:cs="Arial" w:eastAsia="Arial" w:hAnsi="Arial"/>
          <w:sz w:val="20"/>
          <w:szCs w:val="20"/>
        </w:rPr>
        <w:t xml:space="preserve">Detects smoke from Quebec forest fires (500–1,400 km NNE to NE) using Ontario NAPS stations along the NE smoke corridor. Ottawa, Cornwall, Petawawa, and Morrisburg serve as primary trigger stations for smoke entering Ontario from Quebec via the Ottawa Valley and St. Lawrence lowlands.</w:t>
      </w:r>
    </w:p>
    <w:p>
      <w:pPr>
        <w:spacing w:after="100"/>
        <w:jc w:val="left"/>
      </w:pPr>
      <w:r>
        <w:rPr>
          <w:rFonts w:ascii="Arial" w:cs="Arial" w:eastAsia="Arial" w:hAnsi="Arial"/>
          <w:sz w:val="20"/>
          <w:szCs w:val="20"/>
        </w:rPr>
        <w:t xml:space="preserve">The validation determines whether alerts issued by any rule correctly predicted elevated PM2.5 levels in Toronto due to forest fire smoke events. Each rule is validated independently and as part of the combined three-rule system.</w:t>
      </w:r>
    </w:p>
    <w:p>
      <w:pPr>
        <w:pStyle w:val="Heading1"/>
        <w:spacing w:before="360" w:after="200"/>
      </w:pPr>
      <w:r>
        <w:rPr>
          <w:rFonts w:ascii="Arial" w:cs="Arial" w:eastAsia="Arial" w:hAnsi="Arial"/>
          <w:b/>
          <w:bCs/>
          <w:color w:val="1B4F72"/>
          <w:sz w:val="32"/>
          <w:szCs w:val="32"/>
        </w:rPr>
        <w:t xml:space="preserve">2. Toronto NAPS Station Network</w:t>
      </w:r>
    </w:p>
    <w:p>
      <w:pPr>
        <w:spacing w:after="100"/>
        <w:jc w:val="left"/>
      </w:pPr>
      <w:r>
        <w:rPr>
          <w:rFonts w:ascii="Arial" w:cs="Arial" w:eastAsia="Arial" w:hAnsi="Arial"/>
          <w:sz w:val="20"/>
          <w:szCs w:val="20"/>
        </w:rPr>
        <w:t xml:space="preserve">All 11 Toronto NAPS stations shall be used for historical validation, including stations that are no longer active. This ensures comprehensive coverage for historical forest fire events that may have occurred during periods when certain stations were operational.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1200"/>
        <w:gridCol w:w="2100"/>
        <w:gridCol w:w="2540"/>
      </w:tblGrid>
      <w:tr>
        <w:tc>
          <w:tcPr>
            <w:tcW w:type="dxa" w:w="1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NAPS ID</w:t>
            </w:r>
          </w:p>
        </w:tc>
        <w:tc>
          <w:tcPr>
            <w:tcW w:type="dxa" w:w="1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Latitude</w:t>
            </w:r>
          </w:p>
        </w:tc>
        <w:tc>
          <w:tcPr>
            <w:tcW w:type="dxa" w:w="1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Longitude</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2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Active Years</w:t>
            </w:r>
          </w:p>
        </w:tc>
        <w:tc>
          <w:tcPr>
            <w:tcW w:type="dxa" w:w="25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Location</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60410</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43.7479</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-79.2741</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Active</w:t>
            </w:r>
          </w:p>
        </w:tc>
        <w:tc>
          <w:tcPr>
            <w:tcW w:type="dxa" w:w="2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2003–2023</w:t>
            </w:r>
          </w:p>
        </w:tc>
        <w:tc>
          <w:tcPr>
            <w:tcW w:type="dxa" w:w="25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Scarborough</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60413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43.6485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-79.5914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Inactive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2004–2010</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Etobicoke</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60421</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43.7816</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-79.4177</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Inactive</w:t>
            </w:r>
          </w:p>
        </w:tc>
        <w:tc>
          <w:tcPr>
            <w:tcW w:type="dxa" w:w="2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2003–2016</w:t>
            </w:r>
          </w:p>
        </w:tc>
        <w:tc>
          <w:tcPr>
            <w:tcW w:type="dxa" w:w="25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North York</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60429</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43.6136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-79.5075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Inactive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2003–2009, 2012</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Etobicoke South</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60430</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43.7094</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-79.5435</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Active</w:t>
            </w:r>
          </w:p>
        </w:tc>
        <w:tc>
          <w:tcPr>
            <w:tcW w:type="dxa" w:w="2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2003–2023</w:t>
            </w:r>
          </w:p>
        </w:tc>
        <w:tc>
          <w:tcPr>
            <w:tcW w:type="dxa" w:w="25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Toronto West*</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60433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43.6642</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-79.3872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Inactive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2003–2019</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Downtown</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60435</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43.6108</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-79.5219</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Active</w:t>
            </w:r>
          </w:p>
        </w:tc>
        <w:tc>
          <w:tcPr>
            <w:tcW w:type="dxa" w:w="2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2010–2023</w:t>
            </w:r>
          </w:p>
        </w:tc>
        <w:tc>
          <w:tcPr>
            <w:tcW w:type="dxa" w:w="25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Etobicoke</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60438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43.7111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-79.5434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Active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2016–2023</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Toronto West</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60439</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43.6590</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-79.3954</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Inactive</w:t>
            </w:r>
          </w:p>
        </w:tc>
        <w:tc>
          <w:tcPr>
            <w:tcW w:type="dxa" w:w="2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2019 only</w:t>
            </w:r>
          </w:p>
        </w:tc>
        <w:tc>
          <w:tcPr>
            <w:tcW w:type="dxa" w:w="25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Downtown</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60440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43.7804</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-79.4675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Active</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2017–2023</w:t>
            </w:r>
          </w:p>
        </w:tc>
        <w:tc>
          <w:tcPr>
            <w:tcW w:type="dxa" w:w="25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North York</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60445</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43.6454</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-79.3891</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Active</w:t>
            </w:r>
          </w:p>
        </w:tc>
        <w:tc>
          <w:tcPr>
            <w:tcW w:type="dxa" w:w="2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2019–2023</w:t>
            </w:r>
          </w:p>
        </w:tc>
        <w:tc>
          <w:tcPr>
            <w:tcW w:type="dxa" w:w="25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Downtown</w:t>
            </w:r>
          </w:p>
        </w:tc>
      </w:tr>
    </w:tbl>
    <w:p>
      <w:pPr>
        <w:spacing w:after="100"/>
        <w:jc w:val="left"/>
      </w:pPr>
      <w:r>
        <w:rPr>
          <w:rFonts w:ascii="Arial" w:cs="Arial" w:eastAsia="Arial" w:hAnsi="Arial"/>
          <w:i/>
          <w:iCs/>
          <w:color w:val="555555"/>
          <w:sz w:val="20"/>
          <w:szCs w:val="20"/>
        </w:rPr>
        <w:t xml:space="preserve">* Station 60430 is the primary target station. For validation, all 11 stations provide complementary coverage.</w:t>
      </w:r>
    </w:p>
    <w:p>
      <w:pPr>
        <w:pStyle w:val="Heading1"/>
        <w:spacing w:before="360" w:after="200"/>
      </w:pPr>
      <w:r>
        <w:rPr>
          <w:rFonts w:ascii="Arial" w:cs="Arial" w:eastAsia="Arial" w:hAnsi="Arial"/>
          <w:b/>
          <w:bCs/>
          <w:color w:val="1B4F72"/>
          <w:sz w:val="32"/>
          <w:szCs w:val="32"/>
        </w:rPr>
        <w:t xml:space="preserve">3. Alert Level Definitions</w:t>
      </w:r>
    </w:p>
    <w:p>
      <w:pPr>
        <w:spacing w:after="100"/>
        <w:jc w:val="left"/>
      </w:pPr>
      <w:r>
        <w:rPr>
          <w:rFonts w:ascii="Arial" w:cs="Arial" w:eastAsia="Arial" w:hAnsi="Arial"/>
          <w:sz w:val="20"/>
          <w:szCs w:val="20"/>
        </w:rPr>
        <w:t xml:space="preserve">The following PM2.5 concentration thresholds define the alert levels. These apply uniformly to all three detection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3440"/>
      </w:tblGrid>
      <w:tr>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Alert Level</w:t>
            </w:r>
          </w:p>
        </w:tc>
        <w:tc>
          <w:tcPr>
            <w:tcW w:type="dxa" w:w="2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PM2.5 Range</w:t>
            </w:r>
          </w:p>
        </w:tc>
        <w:tc>
          <w:tcPr>
            <w:tcW w:type="dxa" w:w="2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Health Risk</w:t>
            </w:r>
          </w:p>
        </w:tc>
        <w:tc>
          <w:tcPr>
            <w:tcW w:type="dxa" w:w="34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Recommended Action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LOW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0–20 µg/m³</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 significant risk</w:t>
            </w:r>
          </w:p>
        </w:tc>
        <w:tc>
          <w:tcPr>
            <w:tcW w:type="dxa" w:w="34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 action required</w:t>
            </w:r>
          </w:p>
        </w:tc>
      </w:tr>
      <w:tr>
        <w:tc>
          <w:tcPr>
            <w:tcW w:type="dxa" w:w="1800"/>
            <w:tcBorders>
              <w:top w:val="single" w:color="AAAAAA" w:sz="1"/>
              <w:left w:val="single" w:color="AAAAAA" w:sz="1"/>
              <w:bottom w:val="single" w:color="AAAAAA" w:sz="1"/>
              <w:right w:val="single" w:color="AAAAAA" w:sz="1"/>
            </w:tcBorders>
            <w:shd w:fill="FFF9C4"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MODERATE</w:t>
            </w:r>
          </w:p>
        </w:tc>
        <w:tc>
          <w:tcPr>
            <w:tcW w:type="dxa" w:w="2000"/>
            <w:tcBorders>
              <w:top w:val="single" w:color="AAAAAA" w:sz="1"/>
              <w:left w:val="single" w:color="AAAAAA" w:sz="1"/>
              <w:bottom w:val="single" w:color="AAAAAA" w:sz="1"/>
              <w:right w:val="single" w:color="AAAAAA" w:sz="1"/>
            </w:tcBorders>
            <w:shd w:fill="FFF9C4"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21–60 µg/m³</w:t>
            </w:r>
          </w:p>
        </w:tc>
        <w:tc>
          <w:tcPr>
            <w:tcW w:type="dxa" w:w="2600"/>
            <w:tcBorders>
              <w:top w:val="single" w:color="AAAAAA" w:sz="1"/>
              <w:left w:val="single" w:color="AAAAAA" w:sz="1"/>
              <w:bottom w:val="single" w:color="AAAAAA" w:sz="1"/>
              <w:right w:val="single" w:color="AAAAAA" w:sz="1"/>
            </w:tcBorders>
            <w:shd w:fill="FFF9C4"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Sensitive groups affected</w:t>
            </w:r>
          </w:p>
        </w:tc>
        <w:tc>
          <w:tcPr>
            <w:tcW w:type="dxa" w:w="3440"/>
            <w:tcBorders>
              <w:top w:val="single" w:color="AAAAAA" w:sz="1"/>
              <w:left w:val="single" w:color="AAAAAA" w:sz="1"/>
              <w:bottom w:val="single" w:color="AAAAAA" w:sz="1"/>
              <w:right w:val="single" w:color="AAAAAA" w:sz="1"/>
            </w:tcBorders>
            <w:shd w:fill="FFF9C4"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Sensitive groups reduce outdoor activity</w:t>
            </w:r>
          </w:p>
        </w:tc>
      </w:tr>
      <w:tr>
        <w:tc>
          <w:tcPr>
            <w:tcW w:type="dxa" w:w="1800"/>
            <w:tcBorders>
              <w:top w:val="single" w:color="AAAAAA" w:sz="1"/>
              <w:left w:val="single" w:color="AAAAAA" w:sz="1"/>
              <w:bottom w:val="single" w:color="AAAAAA" w:sz="1"/>
              <w:right w:val="single" w:color="AAAAAA" w:sz="1"/>
            </w:tcBorders>
            <w:shd w:fill="FFE0B2"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HIGH</w:t>
            </w:r>
          </w:p>
        </w:tc>
        <w:tc>
          <w:tcPr>
            <w:tcW w:type="dxa" w:w="2000"/>
            <w:tcBorders>
              <w:top w:val="single" w:color="AAAAAA" w:sz="1"/>
              <w:left w:val="single" w:color="AAAAAA" w:sz="1"/>
              <w:bottom w:val="single" w:color="AAAAAA" w:sz="1"/>
              <w:right w:val="single" w:color="AAAAAA" w:sz="1"/>
            </w:tcBorders>
            <w:shd w:fill="FFE0B2"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61–80 µg/m³</w:t>
            </w:r>
          </w:p>
        </w:tc>
        <w:tc>
          <w:tcPr>
            <w:tcW w:type="dxa" w:w="2600"/>
            <w:tcBorders>
              <w:top w:val="single" w:color="AAAAAA" w:sz="1"/>
              <w:left w:val="single" w:color="AAAAAA" w:sz="1"/>
              <w:bottom w:val="single" w:color="AAAAAA" w:sz="1"/>
              <w:right w:val="single" w:color="AAAAAA" w:sz="1"/>
            </w:tcBorders>
            <w:shd w:fill="FFE0B2"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General population affected</w:t>
            </w:r>
          </w:p>
        </w:tc>
        <w:tc>
          <w:tcPr>
            <w:tcW w:type="dxa" w:w="3440"/>
            <w:tcBorders>
              <w:top w:val="single" w:color="AAAAAA" w:sz="1"/>
              <w:left w:val="single" w:color="AAAAAA" w:sz="1"/>
              <w:bottom w:val="single" w:color="AAAAAA" w:sz="1"/>
              <w:right w:val="single" w:color="AAAAAA" w:sz="1"/>
            </w:tcBorders>
            <w:shd w:fill="FFE0B2"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Reduce prolonged outdoor exertion</w:t>
            </w:r>
          </w:p>
        </w:tc>
      </w:tr>
      <w:tr>
        <w:tc>
          <w:tcPr>
            <w:tcW w:type="dxa" w:w="1800"/>
            <w:tcBorders>
              <w:top w:val="single" w:color="AAAAAA" w:sz="1"/>
              <w:left w:val="single" w:color="AAAAAA" w:sz="1"/>
              <w:bottom w:val="single" w:color="AAAAAA" w:sz="1"/>
              <w:right w:val="single" w:color="AAAAAA" w:sz="1"/>
            </w:tcBorders>
            <w:shd w:fill="FFCCB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VERY HIGH</w:t>
            </w:r>
          </w:p>
        </w:tc>
        <w:tc>
          <w:tcPr>
            <w:tcW w:type="dxa" w:w="2000"/>
            <w:tcBorders>
              <w:top w:val="single" w:color="AAAAAA" w:sz="1"/>
              <w:left w:val="single" w:color="AAAAAA" w:sz="1"/>
              <w:bottom w:val="single" w:color="AAAAAA" w:sz="1"/>
              <w:right w:val="single" w:color="AAAAAA" w:sz="1"/>
            </w:tcBorders>
            <w:shd w:fill="FFCCB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81–120 µg/m³</w:t>
            </w:r>
          </w:p>
        </w:tc>
        <w:tc>
          <w:tcPr>
            <w:tcW w:type="dxa" w:w="2600"/>
            <w:tcBorders>
              <w:top w:val="single" w:color="AAAAAA" w:sz="1"/>
              <w:left w:val="single" w:color="AAAAAA" w:sz="1"/>
              <w:bottom w:val="single" w:color="AAAAAA" w:sz="1"/>
              <w:right w:val="single" w:color="AAAAAA" w:sz="1"/>
            </w:tcBorders>
            <w:shd w:fill="FFCCB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Significant risk for all</w:t>
            </w:r>
          </w:p>
        </w:tc>
        <w:tc>
          <w:tcPr>
            <w:tcW w:type="dxa" w:w="3440"/>
            <w:tcBorders>
              <w:top w:val="single" w:color="AAAAAA" w:sz="1"/>
              <w:left w:val="single" w:color="AAAAAA" w:sz="1"/>
              <w:bottom w:val="single" w:color="AAAAAA" w:sz="1"/>
              <w:right w:val="single" w:color="AAAAAA" w:sz="1"/>
            </w:tcBorders>
            <w:shd w:fill="FFCCB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Avoid outdoor exertion</w:t>
            </w:r>
          </w:p>
        </w:tc>
      </w:tr>
      <w:tr>
        <w:tc>
          <w:tcPr>
            <w:tcW w:type="dxa" w:w="1800"/>
            <w:tcBorders>
              <w:top w:val="single" w:color="AAAAAA" w:sz="1"/>
              <w:left w:val="single" w:color="AAAAAA" w:sz="1"/>
              <w:bottom w:val="single" w:color="AAAAAA" w:sz="1"/>
              <w:right w:val="single" w:color="AAAAAA" w:sz="1"/>
            </w:tcBorders>
            <w:shd w:fill="EF9A9A"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EXTREME</w:t>
            </w:r>
          </w:p>
        </w:tc>
        <w:tc>
          <w:tcPr>
            <w:tcW w:type="dxa" w:w="2000"/>
            <w:tcBorders>
              <w:top w:val="single" w:color="AAAAAA" w:sz="1"/>
              <w:left w:val="single" w:color="AAAAAA" w:sz="1"/>
              <w:bottom w:val="single" w:color="AAAAAA" w:sz="1"/>
              <w:right w:val="single" w:color="AAAAAA" w:sz="1"/>
            </w:tcBorders>
            <w:shd w:fill="EF9A9A"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120 µg/m³</w:t>
            </w:r>
          </w:p>
        </w:tc>
        <w:tc>
          <w:tcPr>
            <w:tcW w:type="dxa" w:w="2600"/>
            <w:tcBorders>
              <w:top w:val="single" w:color="AAAAAA" w:sz="1"/>
              <w:left w:val="single" w:color="AAAAAA" w:sz="1"/>
              <w:bottom w:val="single" w:color="AAAAAA" w:sz="1"/>
              <w:right w:val="single" w:color="AAAAAA" w:sz="1"/>
            </w:tcBorders>
            <w:shd w:fill="EF9A9A"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Emergency health conditions</w:t>
            </w:r>
          </w:p>
        </w:tc>
        <w:tc>
          <w:tcPr>
            <w:tcW w:type="dxa" w:w="3440"/>
            <w:tcBorders>
              <w:top w:val="single" w:color="AAAAAA" w:sz="1"/>
              <w:left w:val="single" w:color="AAAAAA" w:sz="1"/>
              <w:bottom w:val="single" w:color="AAAAAA" w:sz="1"/>
              <w:right w:val="single" w:color="AAAAAA" w:sz="1"/>
            </w:tcBorders>
            <w:shd w:fill="EF9A9A"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Stay indoors; close windows</w:t>
            </w:r>
          </w:p>
        </w:tc>
      </w:tr>
    </w:tbl>
    <w:r>
      <w:br w:type="page"/>
    </w:r>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4F72" w:sz="2"/>
              <w:left w:val="single" w:color="1B4F72" w:sz="2"/>
              <w:bottom w:val="single" w:color="1B4F72" w:sz="2"/>
              <w:right w:val="single" w:color="1B4F72" w:sz="2"/>
            </w:tcBorders>
            <w:shd w:fill="1B4F72" w:val="clear"/>
            <w:tcMar>
              <w:top w:type="dxa" w:w="200"/>
              <w:left w:type="dxa" w:w="300"/>
              <w:bottom w:type="dxa" w:w="200"/>
              <w:right w:type="dxa" w:w="300"/>
            </w:tcMar>
          </w:tcPr>
          <w:p>
            <w:pPr>
              <w:jc w:val="center"/>
            </w:pPr>
            <w:r>
              <w:rPr>
                <w:rFonts w:ascii="Arial" w:cs="Arial" w:eastAsia="Arial" w:hAnsi="Arial"/>
                <w:b/>
                <w:bCs/>
                <w:color w:val="85C1E9"/>
                <w:sz w:val="28"/>
                <w:szCs w:val="28"/>
              </w:rPr>
              <w:t xml:space="preserve">PART I</w:t>
            </w:r>
          </w:p>
          <w:p>
            <w:pPr>
              <w:spacing w:before="80"/>
              <w:jc w:val="center"/>
            </w:pPr>
            <w:r>
              <w:rPr>
                <w:rFonts w:ascii="Arial" w:cs="Arial" w:eastAsia="Arial" w:hAnsi="Arial"/>
                <w:b/>
                <w:bCs/>
                <w:color w:val="FFFFFF"/>
                <w:sz w:val="36"/>
                <w:szCs w:val="36"/>
              </w:rPr>
              <w:t xml:space="preserve">Rule 1 – Regional Station Alert</w:t>
            </w:r>
          </w:p>
        </w:tc>
      </w:tr>
    </w:tbl>
    <w:p>
      <w:pPr>
        <w:spacing w:before="200"/>
      </w:pPr>
    </w:p>
    <w:p>
      <w:pPr>
        <w:pStyle w:val="Heading1"/>
        <w:spacing w:before="360" w:after="200"/>
      </w:pPr>
      <w:r>
        <w:rPr>
          <w:rFonts w:ascii="Arial" w:cs="Arial" w:eastAsia="Arial" w:hAnsi="Arial"/>
          <w:b/>
          <w:bCs/>
          <w:color w:val="1B4F72"/>
          <w:sz w:val="32"/>
          <w:szCs w:val="32"/>
        </w:rPr>
        <w:t xml:space="preserve">4. Rule 1: Regional Station Alert</w:t>
      </w:r>
    </w:p>
    <w:p>
      <w:pPr>
        <w:spacing w:after="100"/>
        <w:jc w:val="left"/>
      </w:pPr>
      <w:r>
        <w:rPr>
          <w:rFonts w:ascii="Arial" w:cs="Arial" w:eastAsia="Arial" w:hAnsi="Arial"/>
          <w:sz w:val="20"/>
          <w:szCs w:val="20"/>
        </w:rPr>
        <w:t xml:space="preserve">The Regional Station Alert is the primary detection mechanism. It monitors PM2.5 concentrations at NAPS stations located 100–600 km from Toronto. When any regional alert station records an hourly PM2.5 reading exceeding the trigger threshold, an alert is issued and an evaluation window begins.</w:t>
      </w:r>
    </w:p>
    <w:p>
      <w:pPr>
        <w:spacing w:after="100"/>
        <w:jc w:val="left"/>
      </w:pPr>
      <w:r>
        <w:rPr>
          <w:rFonts w:ascii="Arial" w:cs="Arial" w:eastAsia="Arial" w:hAnsi="Arial"/>
          <w:sz w:val="20"/>
          <w:szCs w:val="20"/>
        </w:rPr>
        <w:t xml:space="preserve">This rule provides broad geographic coverage for Ontario fires and is the first line of defence for fires in central Ontario, the Ottawa Valley, southwestern Ontario, and the near–northern corridor (Sudbury, North Bay, Parry Sound).</w:t>
      </w:r>
    </w:p>
    <w:p>
      <w:pPr>
        <w:pStyle w:val="Heading2"/>
        <w:spacing w:before="280" w:after="160"/>
      </w:pPr>
      <w:r>
        <w:rPr>
          <w:rFonts w:ascii="Arial" w:cs="Arial" w:eastAsia="Arial" w:hAnsi="Arial"/>
          <w:b/>
          <w:bCs/>
          <w:color w:val="2E86C1"/>
          <w:sz w:val="26"/>
          <w:szCs w:val="26"/>
        </w:rPr>
        <w:t xml:space="preserve">4.1 Key Threshold Definitions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40"/>
      </w:tblGrid>
      <w:tr>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Threshold</w:t>
            </w:r>
          </w:p>
        </w:tc>
        <w:tc>
          <w:tcPr>
            <w:tcW w:type="dxa" w:w="5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Alert Station Trigger</w:t>
            </w:r>
          </w:p>
        </w:tc>
        <w:tc>
          <w:tcPr>
            <w:tcW w:type="dxa" w:w="18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40 µg/m³</w:t>
            </w:r>
          </w:p>
        </w:tc>
        <w:tc>
          <w:tcPr>
            <w:tcW w:type="dxa" w:w="56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Hourly PM2.5 at regional alert station that initiates the evaluation window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Toronto Elevated PM2.5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20 µg/m³</w:t>
            </w:r>
          </w:p>
        </w:tc>
        <w:tc>
          <w:tcPr>
            <w:tcW w:type="dxa" w:w="5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Toronto PM2.5 level that constitutes a confirmed smoke arrival event</w:t>
            </w:r>
          </w:p>
        </w:tc>
      </w:tr>
      <w:tr>
        <w:tc>
          <w:tcPr>
            <w:tcW w:type="dxa" w:w="2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Evaluation Window</w:t>
            </w:r>
          </w:p>
        </w:tc>
        <w:tc>
          <w:tcPr>
            <w:tcW w:type="dxa" w:w="18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 to +5 days</w:t>
            </w:r>
          </w:p>
        </w:tc>
        <w:tc>
          <w:tcPr>
            <w:tcW w:type="dxa" w:w="56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Time period after alert trigger to check for Toronto PM2.5 elevation (120 hours)</w:t>
            </w:r>
          </w:p>
        </w:tc>
      </w:tr>
    </w:tbl>
    <w:p>
      <w:pPr>
        <w:pStyle w:val="Heading2"/>
        <w:spacing w:before="280" w:after="160"/>
      </w:pPr>
      <w:r>
        <w:rPr>
          <w:rFonts w:ascii="Arial" w:cs="Arial" w:eastAsia="Arial" w:hAnsi="Arial"/>
          <w:b/>
          <w:bCs/>
          <w:color w:val="2E86C1"/>
          <w:sz w:val="26"/>
          <w:szCs w:val="26"/>
        </w:rPr>
        <w:t xml:space="preserve">4.2 Alert Trigger Time (T₀)</w:t>
      </w:r>
    </w:p>
    <w:p>
      <w:pPr>
        <w:spacing w:after="100"/>
        <w:jc w:val="left"/>
      </w:pPr>
      <w:r>
        <w:rPr>
          <w:rFonts w:ascii="Arial" w:cs="Arial" w:eastAsia="Arial" w:hAnsi="Arial"/>
          <w:sz w:val="20"/>
          <w:szCs w:val="20"/>
        </w:rPr>
        <w:t xml:space="preserve">The alert trigger time (T₀) is defined as the first hour when a regional alert station records an hourly PM2.5 concentration greater than 40 µg/m³.</w:t>
      </w:r>
    </w:p>
    <w:p>
      <w:pPr>
        <w:pStyle w:val="Heading2"/>
        <w:spacing w:before="280" w:after="160"/>
      </w:pPr>
      <w:r>
        <w:rPr>
          <w:rFonts w:ascii="Arial" w:cs="Arial" w:eastAsia="Arial" w:hAnsi="Arial"/>
          <w:b/>
          <w:bCs/>
          <w:color w:val="2E86C1"/>
          <w:sz w:val="26"/>
          <w:szCs w:val="26"/>
        </w:rPr>
        <w:t xml:space="preserve">4.3 Evaluation Window</w:t>
      </w:r>
    </w:p>
    <w:p>
      <w:pPr>
        <w:spacing w:after="100"/>
        <w:jc w:val="left"/>
      </w:pPr>
      <w:r>
        <w:rPr>
          <w:rFonts w:ascii="Arial" w:cs="Arial" w:eastAsia="Arial" w:hAnsi="Arial"/>
          <w:sz w:val="20"/>
          <w:szCs w:val="20"/>
        </w:rPr>
        <w:t xml:space="preserve">The evaluation window for determining TP/FP status spans from T₀ to T₀ + 5 days (120 hours):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Window Start</w:t>
            </w:r>
          </w:p>
        </w:tc>
        <w:tc>
          <w:tcPr>
            <w:tcW w:type="dxa" w:w="328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Window End</w:t>
            </w:r>
          </w:p>
        </w:tc>
        <w:tc>
          <w:tcPr>
            <w:tcW w:type="dxa" w:w="328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Duration</w:t>
            </w:r>
          </w:p>
        </w:tc>
      </w:tr>
      <w:tr>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T₀ (Hour 0)</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T₀ + 5 days</w:t>
            </w:r>
          </w:p>
        </w:tc>
        <w:tc>
          <w:tcPr>
            <w:tcW w:type="dxa" w:w="3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120 hours (accounts for slow-moving smoke)</w:t>
            </w:r>
          </w:p>
        </w:tc>
      </w:tr>
    </w:tbl>
    <w:p>
      <w:pPr>
        <w:pStyle w:val="Heading2"/>
        <w:spacing w:before="280" w:after="160"/>
      </w:pPr>
      <w:r>
        <w:rPr>
          <w:rFonts w:ascii="Arial" w:cs="Arial" w:eastAsia="Arial" w:hAnsi="Arial"/>
          <w:b/>
          <w:bCs/>
          <w:color w:val="2E86C1"/>
          <w:sz w:val="26"/>
          <w:szCs w:val="26"/>
        </w:rPr>
        <w:t xml:space="preserve">4.4 Smoke Transport Timing</w:t>
      </w:r>
    </w:p>
    <w:p>
      <w:pPr>
        <w:spacing w:after="100"/>
        <w:jc w:val="left"/>
      </w:pPr>
      <w:r>
        <w:rPr>
          <w:rFonts w:ascii="Arial" w:cs="Arial" w:eastAsia="Arial" w:hAnsi="Arial"/>
          <w:sz w:val="20"/>
          <w:szCs w:val="20"/>
        </w:rPr>
        <w:t xml:space="preserve">Forest fire smoke transport to Toronto varies based on wind patterns, atmospheric conditions, and fire location:</w:t>
      </w:r>
    </w:p>
    <w:p>
      <w:pPr>
        <w:pStyle w:val="ListParagraph"/>
        <w:numPr>
          <w:ilvl w:val="0"/>
          <w:numId w:val="2"/>
        </w:numPr>
        <w:spacing w:after="80"/>
      </w:pPr>
      <w:r>
        <w:rPr>
          <w:rFonts w:ascii="Arial" w:cs="Arial" w:eastAsia="Arial" w:hAnsi="Arial"/>
          <w:sz w:val="20"/>
          <w:szCs w:val="20"/>
        </w:rPr>
        <w:t xml:space="preserve">Typical transport time: 0 to 3 days</w:t>
      </w:r>
    </w:p>
    <w:p>
      <w:pPr>
        <w:pStyle w:val="ListParagraph"/>
        <w:numPr>
          <w:ilvl w:val="0"/>
          <w:numId w:val="2"/>
        </w:numPr>
        <w:spacing w:after="80"/>
      </w:pPr>
      <w:r>
        <w:rPr>
          <w:rFonts w:ascii="Arial" w:cs="Arial" w:eastAsia="Arial" w:hAnsi="Arial"/>
          <w:sz w:val="20"/>
          <w:szCs w:val="20"/>
        </w:rPr>
        <w:t xml:space="preserve">Extended transport time (slow-moving smoke): up to 5 days</w:t>
      </w:r>
    </w:p>
    <w:p>
      <w:pPr>
        <w:pStyle w:val="Heading2"/>
        <w:spacing w:before="280" w:after="160"/>
      </w:pPr>
      <w:r>
        <w:rPr>
          <w:rFonts w:ascii="Arial" w:cs="Arial" w:eastAsia="Arial" w:hAnsi="Arial"/>
          <w:b/>
          <w:bCs/>
          <w:color w:val="2E86C1"/>
          <w:sz w:val="26"/>
          <w:szCs w:val="26"/>
        </w:rPr>
        <w:t xml:space="preserve">4.5 Lead Time Calculation</w:t>
      </w:r>
    </w:p>
    <w:p>
      <w:pPr>
        <w:spacing w:after="100"/>
        <w:jc w:val="left"/>
      </w:pPr>
      <w:r>
        <w:rPr>
          <w:rFonts w:ascii="Arial" w:cs="Arial" w:eastAsia="Arial" w:hAnsi="Arial"/>
          <w:sz w:val="20"/>
          <w:szCs w:val="20"/>
        </w:rPr>
        <w:t xml:space="preserve">Lead time is calculated as the time difference between when the alert station first exceeds 40 µg/m³ and when Toronto PM2.5 first spikes above 20 µg/m³:</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AAAAAA" w:sz="1"/>
              <w:left w:val="single" w:color="AAAAAA" w:sz="1"/>
              <w:bottom w:val="single" w:color="AAAAAA" w:sz="1"/>
              <w:right w:val="single" w:color="AAAAAA" w:sz="1"/>
            </w:tcBorders>
            <w:shd w:fill="F4F4F4" w:val="clear"/>
            <w:tcMar>
              <w:top w:type="dxa" w:w="80"/>
              <w:left w:type="dxa" w:w="200"/>
              <w:bottom w:type="dxa" w:w="80"/>
              <w:right w:type="dxa" w:w="200"/>
            </w:tcMar>
          </w:tcPr>
          <w:p>
            <w:r>
              <w:rPr>
                <w:rFonts w:ascii="Courier New" w:cs="Courier New" w:eastAsia="Courier New" w:hAnsi="Courier New"/>
                <w:sz w:val="18"/>
                <w:szCs w:val="18"/>
              </w:rPr>
              <w:t xml:space="preserve">Lead_Time = T_toronto_spike – T₀</w:t>
            </w:r>
          </w:p>
        </w:tc>
      </w:tr>
    </w:tbl>
    <w:p>
      <w:pPr>
        <w:spacing w:after="100"/>
        <w:jc w:val="left"/>
      </w:pPr>
      <w:r>
        <w:rPr>
          <w:rFonts w:ascii="Arial" w:cs="Arial" w:eastAsia="Arial" w:hAnsi="Arial"/>
          <w:sz w:val="20"/>
          <w:szCs w:val="20"/>
        </w:rPr>
        <w:t xml:space="preserve">Where T_toronto_spike is the first hour within the evaluation window when Toronto_Max_PM25 &gt; 20 µg/m³.</w:t>
      </w:r>
    </w:p>
    <w:r>
      <w:br w:type="page"/>
    </w:r>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4F72" w:sz="2"/>
              <w:left w:val="single" w:color="1B4F72" w:sz="2"/>
              <w:bottom w:val="single" w:color="1B4F72" w:sz="2"/>
              <w:right w:val="single" w:color="1B4F72" w:sz="2"/>
            </w:tcBorders>
            <w:shd w:fill="1B4F72" w:val="clear"/>
            <w:tcMar>
              <w:top w:type="dxa" w:w="200"/>
              <w:left w:type="dxa" w:w="300"/>
              <w:bottom w:type="dxa" w:w="200"/>
              <w:right w:type="dxa" w:w="300"/>
            </w:tcMar>
          </w:tcPr>
          <w:p>
            <w:pPr>
              <w:jc w:val="center"/>
            </w:pPr>
            <w:r>
              <w:rPr>
                <w:rFonts w:ascii="Arial" w:cs="Arial" w:eastAsia="Arial" w:hAnsi="Arial"/>
                <w:b/>
                <w:bCs/>
                <w:color w:val="85C1E9"/>
                <w:sz w:val="28"/>
                <w:szCs w:val="28"/>
              </w:rPr>
              <w:t xml:space="preserve">PART II</w:t>
            </w:r>
          </w:p>
          <w:p>
            <w:pPr>
              <w:spacing w:before="80"/>
              <w:jc w:val="center"/>
            </w:pPr>
            <w:r>
              <w:rPr>
                <w:rFonts w:ascii="Arial" w:cs="Arial" w:eastAsia="Arial" w:hAnsi="Arial"/>
                <w:b/>
                <w:bCs/>
                <w:color w:val="FFFFFF"/>
                <w:sz w:val="36"/>
                <w:szCs w:val="36"/>
              </w:rPr>
              <w:t xml:space="preserve">Rule 2 – NW Ontario Sequential Detection</w:t>
            </w:r>
          </w:p>
        </w:tc>
      </w:tr>
    </w:tbl>
    <w:p>
      <w:pPr>
        <w:spacing w:before="200"/>
      </w:pPr>
    </w:p>
    <w:p>
      <w:pPr>
        <w:pStyle w:val="Heading1"/>
        <w:spacing w:before="360" w:after="200"/>
      </w:pPr>
      <w:r>
        <w:rPr>
          <w:rFonts w:ascii="Arial" w:cs="Arial" w:eastAsia="Arial" w:hAnsi="Arial"/>
          <w:b/>
          <w:bCs/>
          <w:color w:val="1B4F72"/>
          <w:sz w:val="32"/>
          <w:szCs w:val="32"/>
        </w:rPr>
        <w:t xml:space="preserve">5. Rule 2: NW Ontario Sequential Detection</w:t>
      </w:r>
    </w:p>
    <w:p>
      <w:pPr>
        <w:spacing w:after="100"/>
        <w:jc w:val="left"/>
      </w:pPr>
      <w:r>
        <w:rPr>
          <w:rFonts w:ascii="Arial" w:cs="Arial" w:eastAsia="Arial" w:hAnsi="Arial"/>
          <w:sz w:val="20"/>
          <w:szCs w:val="20"/>
        </w:rPr>
        <w:t xml:space="preserve">Fire IDs 16–25 in the Ontario forest fire record (2003–2023) are located in northwestern Ontario, at distances of 1,100–1,800 km from Toronto. The closest air monitoring station to these fires is Thunder Bay, which is excluded from the Rule 1 regional alert system due to poor direct correlation with Toronto PM2.5 levels.</w:t>
      </w:r>
    </w:p>
    <w:p>
      <w:pPr>
        <w:spacing w:after="100"/>
        <w:jc w:val="left"/>
      </w:pPr>
      <w:r>
        <w:rPr>
          <w:rFonts w:ascii="Arial" w:cs="Arial" w:eastAsia="Arial" w:hAnsi="Arial"/>
          <w:sz w:val="20"/>
          <w:szCs w:val="20"/>
        </w:rPr>
        <w:t xml:space="preserve">The NW Ontario Sequential Detection Rule addresses this gap by using a two-stage trigger-and-confirm approach. Thunder Bay serves as the initial detection point, and intermediate stations along the smoke transport corridor provide confirmation that smoke is moving toward Toronto before an alert is issued. This eliminates false positives from Thunder Bay smoke events that do not reach the Toronto region.</w:t>
      </w:r>
    </w:p>
    <w:p>
      <w:pPr>
        <w:pStyle w:val="Heading2"/>
        <w:spacing w:before="280" w:after="160"/>
      </w:pPr>
      <w:r>
        <w:rPr>
          <w:rFonts w:ascii="Arial" w:cs="Arial" w:eastAsia="Arial" w:hAnsi="Arial"/>
          <w:b/>
          <w:bCs/>
          <w:color w:val="2E86C1"/>
          <w:sz w:val="26"/>
          <w:szCs w:val="26"/>
        </w:rPr>
        <w:t xml:space="preserve">5.1 Sequential Detection Station Network</w:t>
      </w:r>
    </w:p>
    <w:p>
      <w:pPr>
        <w:spacing w:after="100"/>
        <w:jc w:val="left"/>
      </w:pPr>
      <w:r>
        <w:rPr>
          <w:rFonts w:ascii="Arial" w:cs="Arial" w:eastAsia="Arial" w:hAnsi="Arial"/>
          <w:sz w:val="20"/>
          <w:szCs w:val="20"/>
        </w:rPr>
        <w:t xml:space="preserve">The rule uses Thunder Bay as the primary trigger and six intermediate stations arranged along the northwest-to-southeast smoke transport corridor: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00"/>
        <w:gridCol w:w="1100"/>
        <w:gridCol w:w="3940"/>
      </w:tblGrid>
      <w:tr>
        <w:tc>
          <w:tcPr>
            <w:tcW w:type="dxa" w:w="1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NAPS ID</w:t>
            </w:r>
          </w:p>
        </w:tc>
        <w:tc>
          <w:tcPr>
            <w:tcW w:type="dxa" w:w="2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w:t>
            </w:r>
          </w:p>
        </w:tc>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Lat</w:t>
            </w:r>
          </w:p>
        </w:tc>
        <w:tc>
          <w:tcPr>
            <w:tcW w:type="dxa" w:w="1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Lon</w:t>
            </w:r>
          </w:p>
        </w:tc>
        <w:tc>
          <w:tcPr>
            <w:tcW w:type="dxa" w:w="39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r>
      <w:tr>
        <w:tc>
          <w:tcPr>
            <w:tcW w:type="dxa" w:w="16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60807, 60809</w:t>
            </w:r>
          </w:p>
        </w:tc>
        <w:tc>
          <w:tcPr>
            <w:tcW w:type="dxa" w:w="22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Thunder Bay</w:t>
            </w:r>
          </w:p>
        </w:tc>
        <w:tc>
          <w:tcPr>
            <w:tcW w:type="dxa" w:w="10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48.38</w:t>
            </w:r>
          </w:p>
        </w:tc>
        <w:tc>
          <w:tcPr>
            <w:tcW w:type="dxa" w:w="11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-89.29</w:t>
            </w:r>
          </w:p>
        </w:tc>
        <w:tc>
          <w:tcPr>
            <w:tcW w:type="dxa" w:w="394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Primary Trigger Station</w:t>
            </w:r>
          </w:p>
        </w:tc>
      </w:tr>
      <w:tr>
        <w:tc>
          <w:tcPr>
            <w:tcW w:type="dxa" w:w="1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60707, 60709</w:t>
            </w:r>
          </w:p>
        </w:tc>
        <w:tc>
          <w:tcPr>
            <w:tcW w:type="dxa" w:w="2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Sault Ste. Marie</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46.53</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-84.33</w:t>
            </w:r>
          </w:p>
        </w:tc>
        <w:tc>
          <w:tcPr>
            <w:tcW w:type="dxa" w:w="39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Intermediate Confirmation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60609, 60610</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Sudbury</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46.48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-80.96</w:t>
            </w:r>
          </w:p>
        </w:tc>
        <w:tc>
          <w:tcPr>
            <w:tcW w:type="dxa" w:w="39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Intermediate Confirmation</w:t>
            </w:r>
          </w:p>
        </w:tc>
      </w:tr>
      <w:tr>
        <w:tc>
          <w:tcPr>
            <w:tcW w:type="dxa" w:w="1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62001</w:t>
            </w:r>
          </w:p>
        </w:tc>
        <w:tc>
          <w:tcPr>
            <w:tcW w:type="dxa" w:w="2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North Bay</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46.32</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-79.45</w:t>
            </w:r>
          </w:p>
        </w:tc>
        <w:tc>
          <w:tcPr>
            <w:tcW w:type="dxa" w:w="39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Intermediate Confirmation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65201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Parry Sound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45.34</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-80.04</w:t>
            </w:r>
          </w:p>
        </w:tc>
        <w:tc>
          <w:tcPr>
            <w:tcW w:type="dxa" w:w="39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Intermediate Confirmation</w:t>
            </w:r>
          </w:p>
        </w:tc>
      </w:tr>
      <w:tr>
        <w:tc>
          <w:tcPr>
            <w:tcW w:type="dxa" w:w="1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62501</w:t>
            </w:r>
          </w:p>
        </w:tc>
        <w:tc>
          <w:tcPr>
            <w:tcW w:type="dxa" w:w="2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Tiverton</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44.31</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-81.55</w:t>
            </w:r>
          </w:p>
        </w:tc>
        <w:tc>
          <w:tcPr>
            <w:tcW w:type="dxa" w:w="39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Intermediate Confirmation</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63701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Grand Bend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43.33</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-81.74</w:t>
            </w:r>
          </w:p>
        </w:tc>
        <w:tc>
          <w:tcPr>
            <w:tcW w:type="dxa" w:w="39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Intermediate Confirmation</w:t>
            </w:r>
          </w:p>
        </w:tc>
      </w:tr>
    </w:tbl>
    <w:p>
      <w:pPr>
        <w:pStyle w:val="Heading2"/>
        <w:spacing w:before="280" w:after="160"/>
      </w:pPr>
      <w:r>
        <w:rPr>
          <w:rFonts w:ascii="Arial" w:cs="Arial" w:eastAsia="Arial" w:hAnsi="Arial"/>
          <w:b/>
          <w:bCs/>
          <w:color w:val="2E86C1"/>
          <w:sz w:val="26"/>
          <w:szCs w:val="26"/>
        </w:rPr>
        <w:t xml:space="preserve">5.2 Optimized Rule Parameters</w:t>
      </w:r>
    </w:p>
    <w:p>
      <w:pPr>
        <w:spacing w:after="100"/>
        <w:jc w:val="left"/>
      </w:pPr>
      <w:r>
        <w:rPr>
          <w:rFonts w:ascii="Arial" w:cs="Arial" w:eastAsia="Arial" w:hAnsi="Arial"/>
          <w:sz w:val="20"/>
          <w:szCs w:val="20"/>
        </w:rPr>
        <w:t xml:space="preserve">The following parameters were identified through systematic grid search optimization across 288 parameter combinations using 2003–2023 fire season data. This configuration achieved the highest F1 score (0.985) with zero false positives: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40"/>
      </w:tblGrid>
      <w:tr>
        <w:tc>
          <w:tcPr>
            <w:tcW w:type="dxa" w:w="3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48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Thunder Bay Trigger Threshold</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35 µg/m³</w:t>
            </w:r>
          </w:p>
        </w:tc>
        <w:tc>
          <w:tcPr>
            <w:tcW w:type="dxa" w:w="4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Hourly PM2.5 at Thunder Bay that initiates the alert evaluation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Intermediate Station Threshold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20 µg/m³</w:t>
            </w:r>
          </w:p>
        </w:tc>
        <w:tc>
          <w:tcPr>
            <w:tcW w:type="dxa" w:w="4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Hourly PM2.5 at any intermediate station that confirms smoke transport toward Toronto</w:t>
            </w:r>
          </w:p>
        </w:tc>
      </w:tr>
      <w:tr>
        <w:tc>
          <w:tcPr>
            <w:tcW w:type="dxa" w:w="3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Confirmation Window</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 hours</w:t>
            </w:r>
          </w:p>
        </w:tc>
        <w:tc>
          <w:tcPr>
            <w:tcW w:type="dxa" w:w="4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Maximum time after Thunder Bay trigger to observe intermediate station confirmation</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Min. Confirmed Stations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4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Minimum number of intermediate stations that must exceed threshold within confirmation window</w:t>
            </w:r>
          </w:p>
        </w:tc>
      </w:tr>
      <w:tr>
        <w:tc>
          <w:tcPr>
            <w:tcW w:type="dxa" w:w="3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Evaluation Window</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120 hours</w:t>
            </w:r>
          </w:p>
        </w:tc>
        <w:tc>
          <w:tcPr>
            <w:tcW w:type="dxa" w:w="4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Time after confirmation to check for Toronto PM2.5 elevation (identical to Rule 1)</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Toronto Elevated Threshold</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20 µg/m³</w:t>
            </w:r>
          </w:p>
        </w:tc>
        <w:tc>
          <w:tcPr>
            <w:tcW w:type="dxa" w:w="4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Toronto PM2.5 level constituting confirmed smoke arrival (identical to Rule 1)</w:t>
            </w:r>
          </w:p>
        </w:tc>
      </w:tr>
      <w:tr>
        <w:tc>
          <w:tcPr>
            <w:tcW w:type="dxa" w:w="3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Event Cooldown</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168 hours</w:t>
            </w:r>
          </w:p>
        </w:tc>
        <w:tc>
          <w:tcPr>
            <w:tcW w:type="dxa" w:w="4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Minimum separation between distinct Thunder Bay trigger events (7 days)</w:t>
            </w:r>
          </w:p>
        </w:tc>
      </w:tr>
    </w:tbl>
    <w:p>
      <w:pPr>
        <w:pStyle w:val="Heading2"/>
        <w:spacing w:before="280" w:after="160"/>
      </w:pPr>
      <w:r>
        <w:rPr>
          <w:rFonts w:ascii="Arial" w:cs="Arial" w:eastAsia="Arial" w:hAnsi="Arial"/>
          <w:b/>
          <w:bCs/>
          <w:color w:val="2E86C1"/>
          <w:sz w:val="26"/>
          <w:szCs w:val="26"/>
        </w:rPr>
        <w:t xml:space="preserve">5.3 Rule Logic (Step-by-Step)</w:t>
      </w:r>
    </w:p>
    <w:p>
      <w:pPr>
        <w:pStyle w:val="ListParagraph"/>
        <w:numPr>
          <w:ilvl w:val="0"/>
          <w:numId w:val="3"/>
        </w:numPr>
        <w:spacing w:after="100"/>
      </w:pPr>
      <w:r>
        <w:rPr>
          <w:rFonts w:ascii="Arial" w:cs="Arial" w:eastAsia="Arial" w:hAnsi="Arial"/>
          <w:b/>
          <w:bCs/>
          <w:sz w:val="20"/>
          <w:szCs w:val="20"/>
        </w:rPr>
        <w:t xml:space="preserve"> Thunder Bay Trigger (T₀): </w:t>
      </w:r>
      <w:r>
        <w:rPr>
          <w:rFonts w:ascii="Arial" w:cs="Arial" w:eastAsia="Arial" w:hAnsi="Arial"/>
          <w:sz w:val="20"/>
          <w:szCs w:val="20"/>
        </w:rPr>
        <w:t xml:space="preserve">Hourly PM2.5 at Thunder Bay exceeds 35 µg/m³. This is the first hour of a potential smoke transport event. Events separated by less than 168 hours (7 days) from a prior trigger are treated as part of the same event.</w:t>
      </w:r>
    </w:p>
    <w:p>
      <w:pPr>
        <w:pStyle w:val="ListParagraph"/>
        <w:numPr>
          <w:ilvl w:val="0"/>
          <w:numId w:val="3"/>
        </w:numPr>
        <w:spacing w:after="100"/>
      </w:pPr>
      <w:r>
        <w:rPr>
          <w:rFonts w:ascii="Arial" w:cs="Arial" w:eastAsia="Arial" w:hAnsi="Arial"/>
          <w:b/>
          <w:bCs/>
          <w:sz w:val="20"/>
          <w:szCs w:val="20"/>
        </w:rPr>
        <w:t xml:space="preserve"> Intermediate Confirmation: </w:t>
      </w:r>
      <w:r>
        <w:rPr>
          <w:rFonts w:ascii="Arial" w:cs="Arial" w:eastAsia="Arial" w:hAnsi="Arial"/>
          <w:sz w:val="20"/>
          <w:szCs w:val="20"/>
        </w:rPr>
        <w:t xml:space="preserve">Within 96 hours after T₀, at least 1 of the 6 intermediate stations (Sault Ste. Marie, Sudbury, North Bay, Parry Sound, Tiverton, or Grand Bend) must record hourly PM2.5 exceeding 20 µg/m³. The earliest such exceedance is the confirmation time (T₁). If no intermediate station confirms within 96 hours, no alert is issued for this Thunder Bay event.</w:t>
      </w:r>
    </w:p>
    <w:p>
      <w:pPr>
        <w:pStyle w:val="ListParagraph"/>
        <w:numPr>
          <w:ilvl w:val="0"/>
          <w:numId w:val="3"/>
        </w:numPr>
        <w:spacing w:after="100"/>
      </w:pPr>
      <w:r>
        <w:rPr>
          <w:rFonts w:ascii="Arial" w:cs="Arial" w:eastAsia="Arial" w:hAnsi="Arial"/>
          <w:b/>
          <w:bCs/>
          <w:sz w:val="20"/>
          <w:szCs w:val="20"/>
        </w:rPr>
        <w:t xml:space="preserve"> Alert Issued: </w:t>
      </w:r>
      <w:r>
        <w:rPr>
          <w:rFonts w:ascii="Arial" w:cs="Arial" w:eastAsia="Arial" w:hAnsi="Arial"/>
          <w:sz w:val="20"/>
          <w:szCs w:val="20"/>
        </w:rPr>
        <w:t xml:space="preserve">When both conditions are met, a Rule 2 alert is issued at time T₁. The alert level is determined by the intermediate station’s PM2.5 reading or, once available, by the Toronto_Max_PM25 value.</w:t>
      </w:r>
    </w:p>
    <w:p>
      <w:pPr>
        <w:pStyle w:val="ListParagraph"/>
        <w:numPr>
          <w:ilvl w:val="0"/>
          <w:numId w:val="3"/>
        </w:numPr>
        <w:spacing w:after="100"/>
      </w:pPr>
      <w:r>
        <w:rPr>
          <w:rFonts w:ascii="Arial" w:cs="Arial" w:eastAsia="Arial" w:hAnsi="Arial"/>
          <w:b/>
          <w:bCs/>
          <w:sz w:val="20"/>
          <w:szCs w:val="20"/>
        </w:rPr>
        <w:t xml:space="preserve"> Evaluation: </w:t>
      </w:r>
      <w:r>
        <w:rPr>
          <w:rFonts w:ascii="Arial" w:cs="Arial" w:eastAsia="Arial" w:hAnsi="Arial"/>
          <w:sz w:val="20"/>
          <w:szCs w:val="20"/>
        </w:rPr>
        <w:t xml:space="preserve">Toronto_Max_PM25 is monitored from T₁ to T₁ + 120 hours (5 days). If Toronto_Max_PM25 exceeds 20 µg/m³ at any point within this window, the event is classified as a True Positive. Otherwise, it is a False Positive.</w:t>
      </w:r>
    </w:p>
    <w:p>
      <w:pPr>
        <w:pStyle w:val="Heading2"/>
        <w:spacing w:before="280" w:after="160"/>
      </w:pPr>
      <w:r>
        <w:rPr>
          <w:rFonts w:ascii="Arial" w:cs="Arial" w:eastAsia="Arial" w:hAnsi="Arial"/>
          <w:b/>
          <w:bCs/>
          <w:color w:val="2E86C1"/>
          <w:sz w:val="26"/>
          <w:szCs w:val="26"/>
        </w:rPr>
        <w:t xml:space="preserve">5.4 Lead Time Calculation (Rule 2)</w:t>
      </w:r>
    </w:p>
    <w:p>
      <w:pPr>
        <w:spacing w:after="100"/>
        <w:jc w:val="left"/>
      </w:pPr>
      <w:r>
        <w:rPr>
          <w:rFonts w:ascii="Arial" w:cs="Arial" w:eastAsia="Arial" w:hAnsi="Arial"/>
          <w:sz w:val="20"/>
          <w:szCs w:val="20"/>
        </w:rPr>
        <w:t xml:space="preserve">For Rule 2, lead time is calculated from the intermediate confirmation time (T₁), not from the Thunder Bay trigger time (T₀):</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AAAAAA" w:sz="1"/>
              <w:left w:val="single" w:color="AAAAAA" w:sz="1"/>
              <w:bottom w:val="single" w:color="AAAAAA" w:sz="1"/>
              <w:right w:val="single" w:color="AAAAAA" w:sz="1"/>
            </w:tcBorders>
            <w:shd w:fill="F4F4F4" w:val="clear"/>
            <w:tcMar>
              <w:top w:type="dxa" w:w="80"/>
              <w:left w:type="dxa" w:w="200"/>
              <w:bottom w:type="dxa" w:w="80"/>
              <w:right w:type="dxa" w:w="200"/>
            </w:tcMar>
          </w:tcPr>
          <w:p>
            <w:r>
              <w:rPr>
                <w:rFonts w:ascii="Courier New" w:cs="Courier New" w:eastAsia="Courier New" w:hAnsi="Courier New"/>
                <w:sz w:val="18"/>
                <w:szCs w:val="18"/>
              </w:rPr>
              <w:t xml:space="preserve">Lead_Time = T_toronto_spike – T₁</w:t>
            </w:r>
          </w:p>
        </w:tc>
      </w:tr>
    </w:tbl>
    <w:p>
      <w:pPr>
        <w:spacing w:after="100"/>
        <w:jc w:val="left"/>
      </w:pPr>
      <w:r>
        <w:rPr>
          <w:rFonts w:ascii="Arial" w:cs="Arial" w:eastAsia="Arial" w:hAnsi="Arial"/>
          <w:sz w:val="20"/>
          <w:szCs w:val="20"/>
        </w:rPr>
        <w:t xml:space="preserve">Where T₁ is the first hour when any intermediate station exceeds 20 µg/m³ after T₀, and T_toronto_spike is the first hour when Toronto_Max_PM25 &gt; 20 µg/m³ within the evaluation window.</w:t>
      </w:r>
    </w:p>
    <w:p>
      <w:pPr>
        <w:pStyle w:val="Heading2"/>
        <w:spacing w:before="280" w:after="160"/>
      </w:pPr>
      <w:r>
        <w:rPr>
          <w:rFonts w:ascii="Arial" w:cs="Arial" w:eastAsia="Arial" w:hAnsi="Arial"/>
          <w:b/>
          <w:bCs/>
          <w:color w:val="2E86C1"/>
          <w:sz w:val="26"/>
          <w:szCs w:val="26"/>
        </w:rPr>
        <w:t xml:space="preserve">5.5 Historical Validation Results (2003–2023)</w:t>
      </w:r>
    </w:p>
    <w:p>
      <w:pPr>
        <w:spacing w:before="220" w:after="120"/>
      </w:pPr>
      <w:r>
        <w:rPr>
          <w:rFonts w:ascii="Arial" w:cs="Arial" w:eastAsia="Arial" w:hAnsi="Arial"/>
          <w:b/>
          <w:bCs/>
          <w:color w:val="2E86C1"/>
          <w:sz w:val="22"/>
          <w:szCs w:val="22"/>
        </w:rPr>
        <w:t xml:space="preserve">5.5.1 Performance Metrics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0"/>
        <w:gridCol w:w="4340"/>
      </w:tblGrid>
      <w:tr>
        <w:tc>
          <w:tcPr>
            <w:tcW w:type="dxa" w:w="5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43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Total Thunder Bay Trigger Events</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34</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Alerts Issued (trigger + confirmation)</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33</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True Positives (TP)</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33</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False Positives (FP)</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True Negatives (TN)</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False Negatives (FN)</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Sensitivity (Recall)</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97.1%</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Precision (PPV)</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100.0%</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F1 Score</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0.985</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Mean Lead Time</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15.3 hours</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Median Lead Time</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7.0 hours</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Maximum Lead Time</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92.0 hours</w:t>
            </w:r>
          </w:p>
        </w:tc>
      </w:tr>
    </w:tbl>
    <w:p>
      <w:pPr>
        <w:spacing w:after="100"/>
        <w:jc w:val="left"/>
      </w:pPr>
      <w:r>
        <w:rPr>
          <w:rFonts w:ascii="Arial" w:cs="Arial" w:eastAsia="Arial" w:hAnsi="Arial"/>
          <w:sz w:val="20"/>
          <w:szCs w:val="20"/>
        </w:rPr>
        <w:t xml:space="preserve">The rule achieved perfect precision (100%) with zero false positives across the entire 21-year study period. Only one false negative was recorded (September 3, 2023), where Thunder Bay registered 74 µg/m³ but smoke bypassed all six intermediate stations, reaching Toronto (peak 33 µg/m³) without triggering any confirmation.</w:t>
      </w:r>
    </w:p>
    <w:p>
      <w:pPr>
        <w:spacing w:before="220" w:after="120"/>
      </w:pPr>
      <w:r>
        <w:rPr>
          <w:rFonts w:ascii="Arial" w:cs="Arial" w:eastAsia="Arial" w:hAnsi="Arial"/>
          <w:b/>
          <w:bCs/>
          <w:color w:val="2E86C1"/>
          <w:sz w:val="22"/>
          <w:szCs w:val="22"/>
        </w:rPr>
        <w:t xml:space="preserve">5.5.2 Detection of Catalogued NW Ontario Fires (Fire IDs 16–25)</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900"/>
        <w:gridCol w:w="1500"/>
        <w:gridCol w:w="3240"/>
      </w:tblGrid>
      <w:tr>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Fire ID</w:t>
            </w:r>
          </w:p>
        </w:tc>
        <w:tc>
          <w:tcPr>
            <w:tcW w:type="dxa" w:w="3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Fire Name</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Year</w:t>
            </w:r>
          </w:p>
        </w:tc>
        <w:tc>
          <w:tcPr>
            <w:tcW w:type="dxa" w:w="1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TB Triggers</w:t>
            </w:r>
          </w:p>
        </w:tc>
        <w:tc>
          <w:tcPr>
            <w:tcW w:type="dxa" w:w="32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Result</w:t>
            </w:r>
          </w:p>
        </w:tc>
      </w:tr>
      <w:tr>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16–17</w:t>
            </w:r>
          </w:p>
        </w:tc>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Sioux Lookout 70/35</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2011</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 events</w:t>
            </w:r>
          </w:p>
        </w:tc>
        <w:tc>
          <w:tcPr>
            <w:tcW w:type="dxa" w:w="32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Detected (TP)</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18–19</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Red Lake 23/39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2019</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 event</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Detected (TP)</w:t>
            </w:r>
          </w:p>
        </w:tc>
      </w:tr>
      <w:tr>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20–21</w:t>
            </w:r>
          </w:p>
        </w:tc>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Nipigon 45 / Red Lake 49</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2020</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 events</w:t>
            </w:r>
          </w:p>
        </w:tc>
        <w:tc>
          <w:tcPr>
            <w:tcW w:type="dxa" w:w="32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Not detected (TB peak 13)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22–24</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Kenora 51 / Red Lake 16/51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 events</w:t>
            </w:r>
          </w:p>
        </w:tc>
        <w:tc>
          <w:tcPr>
            <w:tcW w:type="dxa" w:w="32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Detected (TP)</w:t>
            </w:r>
          </w:p>
        </w:tc>
      </w:tr>
      <w:tr>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25</w:t>
            </w:r>
          </w:p>
        </w:tc>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Sudbury 4</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2022</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 events</w:t>
            </w:r>
          </w:p>
        </w:tc>
        <w:tc>
          <w:tcPr>
            <w:tcW w:type="dxa" w:w="32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N/A (380 km – covered by Rule 1)</w:t>
            </w:r>
          </w:p>
        </w:tc>
      </w:tr>
    </w:tbl>
    <w:p>
      <w:pPr>
        <w:spacing w:before="220" w:after="120"/>
      </w:pPr>
      <w:r>
        <w:rPr>
          <w:rFonts w:ascii="Arial" w:cs="Arial" w:eastAsia="Arial" w:hAnsi="Arial"/>
          <w:b/>
          <w:bCs/>
          <w:color w:val="2E86C1"/>
          <w:sz w:val="22"/>
          <w:szCs w:val="22"/>
        </w:rPr>
        <w:t xml:space="preserve">5.5.3 Top Candidate Configurations Compared</w:t>
      </w:r>
    </w:p>
    <w:p>
      <w:pPr>
        <w:spacing w:after="100"/>
        <w:jc w:val="left"/>
      </w:pPr>
      <w:r>
        <w:rPr>
          <w:rFonts w:ascii="Arial" w:cs="Arial" w:eastAsia="Arial" w:hAnsi="Arial"/>
          <w:sz w:val="20"/>
          <w:szCs w:val="20"/>
        </w:rPr>
        <w:t xml:space="preserve">The grid search tested 288 parameter combinations. The top five configurations: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
        <w:gridCol w:w="700"/>
        <w:gridCol w:w="700"/>
        <w:gridCol w:w="800"/>
        <w:gridCol w:w="600"/>
        <w:gridCol w:w="600"/>
        <w:gridCol w:w="600"/>
        <w:gridCol w:w="600"/>
        <w:gridCol w:w="900"/>
        <w:gridCol w:w="800"/>
        <w:gridCol w:w="900"/>
        <w:gridCol w:w="1090"/>
        <w:gridCol w:w="1000"/>
      </w:tblGrid>
      <w:tr>
        <w:tc>
          <w:tcPr>
            <w:tcW w:type="dxa" w:w="55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TB</w:t>
            </w:r>
          </w:p>
        </w:tc>
        <w:tc>
          <w:tcPr>
            <w:tcW w:type="dxa" w:w="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w:t>
            </w:r>
          </w:p>
        </w:tc>
        <w:tc>
          <w:tcPr>
            <w:tcW w:type="dxa" w:w="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w:t>
            </w:r>
          </w:p>
        </w:tc>
        <w:tc>
          <w:tcPr>
            <w:tcW w:type="dxa" w:w="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w:t>
            </w:r>
          </w:p>
        </w:tc>
        <w:tc>
          <w:tcPr>
            <w:tcW w:type="dxa" w:w="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TP</w:t>
            </w:r>
          </w:p>
        </w:tc>
        <w:tc>
          <w:tcPr>
            <w:tcW w:type="dxa" w:w="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FP</w:t>
            </w:r>
          </w:p>
        </w:tc>
        <w:tc>
          <w:tcPr>
            <w:tcW w:type="dxa" w:w="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FN</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Sens</w:t>
            </w:r>
          </w:p>
        </w:tc>
        <w:tc>
          <w:tcPr>
            <w:tcW w:type="dxa" w:w="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F1</w:t>
            </w:r>
          </w:p>
        </w:tc>
        <w:tc>
          <w:tcPr>
            <w:tcW w:type="dxa" w:w="109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Lead</w:t>
            </w:r>
          </w:p>
        </w:tc>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
            </w:r>
          </w:p>
        </w:tc>
      </w:tr>
      <w:tr>
        <w:tc>
          <w:tcPr>
            <w:tcW w:type="dxa" w:w="55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1*</w:t>
            </w:r>
          </w:p>
        </w:tc>
        <w:tc>
          <w:tcPr>
            <w:tcW w:type="dxa" w:w="7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35</w:t>
            </w:r>
          </w:p>
        </w:tc>
        <w:tc>
          <w:tcPr>
            <w:tcW w:type="dxa" w:w="7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20</w:t>
            </w:r>
          </w:p>
        </w:tc>
        <w:tc>
          <w:tcPr>
            <w:tcW w:type="dxa" w:w="8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96h</w:t>
            </w:r>
          </w:p>
        </w:tc>
        <w:tc>
          <w:tcPr>
            <w:tcW w:type="dxa" w:w="6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1</w:t>
            </w:r>
          </w:p>
        </w:tc>
        <w:tc>
          <w:tcPr>
            <w:tcW w:type="dxa" w:w="6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33</w:t>
            </w:r>
          </w:p>
        </w:tc>
        <w:tc>
          <w:tcPr>
            <w:tcW w:type="dxa" w:w="6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0</w:t>
            </w:r>
          </w:p>
        </w:tc>
        <w:tc>
          <w:tcPr>
            <w:tcW w:type="dxa" w:w="6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1</w:t>
            </w:r>
          </w:p>
        </w:tc>
        <w:tc>
          <w:tcPr>
            <w:tcW w:type="dxa" w:w="9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97.1%</w:t>
            </w:r>
          </w:p>
        </w:tc>
        <w:tc>
          <w:tcPr>
            <w:tcW w:type="dxa" w:w="8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100%</w:t>
            </w:r>
          </w:p>
        </w:tc>
        <w:tc>
          <w:tcPr>
            <w:tcW w:type="dxa" w:w="9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0.985</w:t>
            </w:r>
          </w:p>
        </w:tc>
        <w:tc>
          <w:tcPr>
            <w:tcW w:type="dxa" w:w="109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15.3h</w:t>
            </w:r>
          </w:p>
        </w:tc>
        <w:tc>
          <w:tcPr>
            <w:tcW w:type="dxa" w:w="10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Recommended</w:t>
            </w:r>
          </w:p>
        </w:tc>
      </w:tr>
      <w:tr>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25</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96h</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26</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96.3%</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0.981</w:t>
            </w:r>
          </w:p>
        </w:tc>
        <w:tc>
          <w:tcPr>
            <w:tcW w:type="dxa" w:w="109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14.5h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
            </w:r>
          </w:p>
        </w:tc>
      </w:tr>
      <w:tr>
        <w:tc>
          <w:tcPr>
            <w:tcW w:type="dxa" w:w="55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40</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w:t>
            </w:r>
          </w:p>
        </w:tc>
        <w:tc>
          <w:tcPr>
            <w:tcW w:type="dxa" w:w="8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96h</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26</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96.3%</w:t>
            </w:r>
          </w:p>
        </w:tc>
        <w:tc>
          <w:tcPr>
            <w:tcW w:type="dxa" w:w="8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0.981</w:t>
            </w:r>
          </w:p>
        </w:tc>
        <w:tc>
          <w:tcPr>
            <w:tcW w:type="dxa" w:w="109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15.4h</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
            </w:r>
          </w:p>
        </w:tc>
      </w:tr>
      <w:tr>
        <w:tc>
          <w:tcPr>
            <w:tcW w:type="dxa" w:w="5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40</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96h</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26</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96.3%</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0.981</w:t>
            </w:r>
          </w:p>
        </w:tc>
        <w:tc>
          <w:tcPr>
            <w:tcW w:type="dxa" w:w="109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14.8h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
            </w:r>
          </w:p>
        </w:tc>
      </w:tr>
      <w:tr>
        <w:tc>
          <w:tcPr>
            <w:tcW w:type="dxa" w:w="55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50</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25</w:t>
            </w:r>
          </w:p>
        </w:tc>
        <w:tc>
          <w:tcPr>
            <w:tcW w:type="dxa" w:w="8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96h</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16</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94.1%</w:t>
            </w:r>
          </w:p>
        </w:tc>
        <w:tc>
          <w:tcPr>
            <w:tcW w:type="dxa" w:w="8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0.970</w:t>
            </w:r>
          </w:p>
        </w:tc>
        <w:tc>
          <w:tcPr>
            <w:tcW w:type="dxa" w:w="109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7.9h</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
            </w:r>
          </w:p>
        </w:tc>
      </w:tr>
    </w:tbl>
    <w:p>
      <w:pPr>
        <w:pStyle w:val="Heading2"/>
        <w:spacing w:before="280" w:after="160"/>
      </w:pPr>
      <w:r>
        <w:rPr>
          <w:rFonts w:ascii="Arial" w:cs="Arial" w:eastAsia="Arial" w:hAnsi="Arial"/>
          <w:b/>
          <w:bCs/>
          <w:color w:val="2E86C1"/>
          <w:sz w:val="26"/>
          <w:szCs w:val="26"/>
        </w:rPr>
        <w:t xml:space="preserve">5.6 Limitations</w:t>
      </w:r>
    </w:p>
    <w:p>
      <w:pPr>
        <w:pStyle w:val="ListParagraph"/>
        <w:numPr>
          <w:ilvl w:val="0"/>
          <w:numId w:val="2"/>
        </w:numPr>
        <w:spacing w:after="80"/>
      </w:pPr>
      <w:r>
        <w:rPr>
          <w:rFonts w:ascii="Arial" w:cs="Arial" w:eastAsia="Arial" w:hAnsi="Arial"/>
          <w:b/>
          <w:bCs/>
          <w:sz w:val="20"/>
          <w:szCs w:val="20"/>
        </w:rPr>
        <w:t xml:space="preserve">Thunder Bay dependency: </w:t>
      </w:r>
      <w:r>
        <w:rPr>
          <w:rFonts w:ascii="Arial" w:cs="Arial" w:eastAsia="Arial" w:hAnsi="Arial"/>
          <w:sz w:val="20"/>
          <w:szCs w:val="20"/>
        </w:rPr>
        <w:t xml:space="preserve">The rule requires Thunder Bay to register elevated PM2.5. If wind patterns direct smoke away from Thunder Bay (as in the 2020 Nipigon/Red Lake fires where TB peaked at only 13 µg/m³), the rule will not trigger.</w:t>
      </w:r>
    </w:p>
    <w:p>
      <w:pPr>
        <w:pStyle w:val="ListParagraph"/>
        <w:numPr>
          <w:ilvl w:val="0"/>
          <w:numId w:val="2"/>
        </w:numPr>
        <w:spacing w:after="80"/>
      </w:pPr>
      <w:r>
        <w:rPr>
          <w:rFonts w:ascii="Arial" w:cs="Arial" w:eastAsia="Arial" w:hAnsi="Arial"/>
          <w:b/>
          <w:bCs/>
          <w:sz w:val="20"/>
          <w:szCs w:val="20"/>
        </w:rPr>
        <w:t xml:space="preserve">Bypass events: </w:t>
      </w:r>
      <w:r>
        <w:rPr>
          <w:rFonts w:ascii="Arial" w:cs="Arial" w:eastAsia="Arial" w:hAnsi="Arial"/>
          <w:sz w:val="20"/>
          <w:szCs w:val="20"/>
        </w:rPr>
        <w:t xml:space="preserve">Smoke can occasionally reach Toronto while bypassing all intermediate stations (September 3, 2023 FN event). Upper-atmosphere transport can carry smoke over stations without ground-level detection.</w:t>
      </w:r>
    </w:p>
    <w:p>
      <w:pPr>
        <w:pStyle w:val="ListParagraph"/>
        <w:numPr>
          <w:ilvl w:val="0"/>
          <w:numId w:val="2"/>
        </w:numPr>
        <w:spacing w:after="80"/>
      </w:pPr>
      <w:r>
        <w:rPr>
          <w:rFonts w:ascii="Arial" w:cs="Arial" w:eastAsia="Arial" w:hAnsi="Arial"/>
          <w:b/>
          <w:bCs/>
          <w:sz w:val="20"/>
          <w:szCs w:val="20"/>
        </w:rPr>
        <w:t xml:space="preserve">Non-fire smoke sources: </w:t>
      </w:r>
      <w:r>
        <w:rPr>
          <w:rFonts w:ascii="Arial" w:cs="Arial" w:eastAsia="Arial" w:hAnsi="Arial"/>
          <w:sz w:val="20"/>
          <w:szCs w:val="20"/>
        </w:rPr>
        <w:t xml:space="preserve">The rule captures all smoke events where Thunder Bay is elevated, including cross-border smoke from Manitoba or the US. These are still valid Toronto PM2.5 risks.</w:t>
      </w:r>
    </w:p>
    <w:p>
      <w:pPr>
        <w:pStyle w:val="ListParagraph"/>
        <w:numPr>
          <w:ilvl w:val="0"/>
          <w:numId w:val="2"/>
        </w:numPr>
        <w:spacing w:after="80"/>
      </w:pPr>
      <w:r>
        <w:rPr>
          <w:rFonts w:ascii="Arial" w:cs="Arial" w:eastAsia="Arial" w:hAnsi="Arial"/>
          <w:b/>
          <w:bCs/>
          <w:sz w:val="20"/>
          <w:szCs w:val="20"/>
        </w:rPr>
        <w:t xml:space="preserve">Complementary role: </w:t>
      </w:r>
      <w:r>
        <w:rPr>
          <w:rFonts w:ascii="Arial" w:cs="Arial" w:eastAsia="Arial" w:hAnsi="Arial"/>
          <w:sz w:val="20"/>
          <w:szCs w:val="20"/>
        </w:rPr>
        <w:t xml:space="preserve">Rule 2 supplements Rule 1. The existing regional system covers fires within 100–600 km; the sequential rule extends coverage to the 1,000–1,800 km range.</w:t>
      </w:r>
    </w:p>
    <w:r>
      <w:br w:type="page"/>
    </w:r>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4F72" w:sz="2"/>
              <w:left w:val="single" w:color="1B4F72" w:sz="2"/>
              <w:bottom w:val="single" w:color="1B4F72" w:sz="2"/>
              <w:right w:val="single" w:color="1B4F72" w:sz="2"/>
            </w:tcBorders>
            <w:shd w:fill="1B4F72" w:val="clear"/>
            <w:tcMar>
              <w:top w:type="dxa" w:w="200"/>
              <w:left w:type="dxa" w:w="300"/>
              <w:bottom w:type="dxa" w:w="200"/>
              <w:right w:type="dxa" w:w="300"/>
            </w:tcMar>
          </w:tcPr>
          <w:p>
            <w:pPr>
              <w:jc w:val="center"/>
            </w:pPr>
            <w:r>
              <w:rPr>
                <w:rFonts w:ascii="Arial" w:cs="Arial" w:eastAsia="Arial" w:hAnsi="Arial"/>
                <w:b/>
                <w:bCs/>
                <w:color w:val="85C1E9"/>
                <w:sz w:val="28"/>
                <w:szCs w:val="28"/>
              </w:rPr>
              <w:t xml:space="preserve">PART III</w:t>
            </w:r>
          </w:p>
          <w:p>
            <w:pPr>
              <w:spacing w:before="80"/>
              <w:jc w:val="center"/>
            </w:pPr>
            <w:r>
              <w:rPr>
                <w:rFonts w:ascii="Arial" w:cs="Arial" w:eastAsia="Arial" w:hAnsi="Arial"/>
                <w:b/>
                <w:bCs/>
                <w:color w:val="FFFFFF"/>
                <w:sz w:val="36"/>
                <w:szCs w:val="36"/>
              </w:rPr>
              <w:t xml:space="preserve">Rule 3 – Quebec NE Corridor Detection</w:t>
            </w:r>
          </w:p>
        </w:tc>
      </w:tr>
    </w:tbl>
    <w:p>
      <w:pPr>
        <w:spacing w:before="200"/>
      </w:pPr>
    </w:p>
    <w:p>
      <w:pPr>
        <w:pStyle w:val="Heading1"/>
        <w:spacing w:before="360" w:after="200"/>
      </w:pPr>
      <w:r>
        <w:rPr>
          <w:rFonts w:ascii="Arial" w:cs="Arial" w:eastAsia="Arial" w:hAnsi="Arial"/>
          <w:b/>
          <w:bCs/>
          <w:color w:val="1B4F72"/>
          <w:sz w:val="32"/>
          <w:szCs w:val="32"/>
        </w:rPr>
        <w:t xml:space="preserve">6. Rule 3: Quebec NE Corridor Detection</w:t>
      </w:r>
    </w:p>
    <w:p>
      <w:pPr>
        <w:spacing w:after="100"/>
        <w:jc w:val="left"/>
      </w:pPr>
      <w:r>
        <w:rPr>
          <w:rFonts w:ascii="Arial" w:cs="Arial" w:eastAsia="Arial" w:hAnsi="Arial"/>
          <w:sz w:val="20"/>
          <w:szCs w:val="20"/>
        </w:rPr>
        <w:t xml:space="preserve">Quebec fires cluster 500–1,400 km NNE to NE of Toronto, producing smoke that travels along a northeast-to-southwest corridor through the Ottawa Valley and St. Lawrence lowlands before reaching the Greater Toronto Area. This corridor is not covered by Rule 2’s NW–to–SE detection chain.</w:t>
      </w:r>
    </w:p>
    <w:p>
      <w:pPr>
        <w:spacing w:after="100"/>
        <w:jc w:val="left"/>
      </w:pPr>
      <w:r>
        <w:rPr>
          <w:rFonts w:ascii="Arial" w:cs="Arial" w:eastAsia="Arial" w:hAnsi="Arial"/>
          <w:sz w:val="20"/>
          <w:szCs w:val="20"/>
        </w:rPr>
        <w:t xml:space="preserve">Rule 3 uses a direct monitoring approach with four primary trigger stations positioned along this NE smoke corridor. Unlike Rule 2’s sequential two-stage design, Rule 3 employs a single-stage trigger because these stations achieve 96.5% precision as standalone triggers, and Quebec smoke typically arrives at the NE corridor stations and Toronto nearly simultaneously, making sequential confirmation impractical for extending warning time.</w:t>
      </w:r>
    </w:p>
    <w:p>
      <w:pPr>
        <w:pStyle w:val="Heading2"/>
        <w:spacing w:before="280" w:after="160"/>
      </w:pPr>
      <w:r>
        <w:rPr>
          <w:rFonts w:ascii="Arial" w:cs="Arial" w:eastAsia="Arial" w:hAnsi="Arial"/>
          <w:b/>
          <w:bCs/>
          <w:color w:val="2E86C1"/>
          <w:sz w:val="26"/>
          <w:szCs w:val="26"/>
        </w:rPr>
        <w:t xml:space="preserve">6.1 Quebec Fire Characteristics</w:t>
      </w:r>
    </w:p>
    <w:p>
      <w:pPr>
        <w:pStyle w:val="ListParagraph"/>
        <w:numPr>
          <w:ilvl w:val="0"/>
          <w:numId w:val="2"/>
        </w:numPr>
        <w:spacing w:after="80"/>
      </w:pPr>
      <w:r>
        <w:rPr>
          <w:rFonts w:ascii="Arial" w:cs="Arial" w:eastAsia="Arial" w:hAnsi="Arial"/>
          <w:sz w:val="20"/>
          <w:szCs w:val="20"/>
        </w:rPr>
        <w:t xml:space="preserve">Distance from Toronto: 500–1,400 km (measured via Montreal, 540 km NE of Toronto)</w:t>
      </w:r>
    </w:p>
    <w:p>
      <w:pPr>
        <w:pStyle w:val="ListParagraph"/>
        <w:numPr>
          <w:ilvl w:val="0"/>
          <w:numId w:val="2"/>
        </w:numPr>
        <w:spacing w:after="80"/>
      </w:pPr>
      <w:r>
        <w:rPr>
          <w:rFonts w:ascii="Arial" w:cs="Arial" w:eastAsia="Arial" w:hAnsi="Arial"/>
          <w:sz w:val="20"/>
          <w:szCs w:val="20"/>
        </w:rPr>
        <w:t xml:space="preserve">Primary fire regions: James Bay/Eeyou Istchee, Abitibi-Témiscamingue, Saguenay–Lac-Saint-Jean, Côte-Nord, Haute-Mauricie</w:t>
      </w:r>
    </w:p>
    <w:p>
      <w:pPr>
        <w:pStyle w:val="ListParagraph"/>
        <w:numPr>
          <w:ilvl w:val="0"/>
          <w:numId w:val="2"/>
        </w:numPr>
        <w:spacing w:after="80"/>
      </w:pPr>
      <w:r>
        <w:rPr>
          <w:rFonts w:ascii="Arial" w:cs="Arial" w:eastAsia="Arial" w:hAnsi="Arial"/>
          <w:sz w:val="20"/>
          <w:szCs w:val="20"/>
        </w:rPr>
        <w:t xml:space="preserve">Smoke transport corridor: NNE → SW through Ottawa Valley and St. Lawrence lowlands</w:t>
      </w:r>
    </w:p>
    <w:p>
      <w:pPr>
        <w:pStyle w:val="ListParagraph"/>
        <w:numPr>
          <w:ilvl w:val="0"/>
          <w:numId w:val="2"/>
        </w:numPr>
        <w:spacing w:after="80"/>
      </w:pPr>
      <w:r>
        <w:rPr>
          <w:rFonts w:ascii="Arial" w:cs="Arial" w:eastAsia="Arial" w:hAnsi="Arial"/>
          <w:sz w:val="20"/>
          <w:szCs w:val="20"/>
        </w:rPr>
        <w:t xml:space="preserve">Peak season: June–July (10 of 12 catalogued fires started in May–June)</w:t>
      </w:r>
    </w:p>
    <w:p>
      <w:pPr>
        <w:pStyle w:val="ListParagraph"/>
        <w:numPr>
          <w:ilvl w:val="0"/>
          <w:numId w:val="2"/>
        </w:numPr>
        <w:spacing w:after="80"/>
      </w:pPr>
      <w:r>
        <w:rPr>
          <w:rFonts w:ascii="Arial" w:cs="Arial" w:eastAsia="Arial" w:hAnsi="Arial"/>
          <w:sz w:val="20"/>
          <w:szCs w:val="20"/>
        </w:rPr>
        <w:t xml:space="preserve">2023 catastrophe: 7 of 12 catalogued fires burned simultaneously, producing Toronto’s highest recorded PM2.5 (241 µg/m³ on June 28, 2023)</w:t>
      </w:r>
    </w:p>
    <w:p>
      <w:pPr>
        <w:pStyle w:val="Heading2"/>
        <w:spacing w:before="280" w:after="160"/>
      </w:pPr>
      <w:r>
        <w:rPr>
          <w:rFonts w:ascii="Arial" w:cs="Arial" w:eastAsia="Arial" w:hAnsi="Arial"/>
          <w:b/>
          <w:bCs/>
          <w:color w:val="2E86C1"/>
          <w:sz w:val="26"/>
          <w:szCs w:val="26"/>
        </w:rPr>
        <w:t xml:space="preserve">6.2 Quebec Forest Fire Catalogue (2003–2023)</w:t>
      </w:r>
    </w:p>
    <w:p>
      <w:pPr>
        <w:spacing w:after="100"/>
        <w:jc w:val="left"/>
      </w:pPr>
      <w:r>
        <w:rPr>
          <w:rFonts w:ascii="Arial" w:cs="Arial" w:eastAsia="Arial" w:hAnsi="Arial"/>
          <w:sz w:val="20"/>
          <w:szCs w:val="20"/>
        </w:rPr>
        <w:t xml:space="preserve">The following 12 significant Quebec forest fires form the basis for Rule 3 validation: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00"/>
        <w:gridCol w:w="1200"/>
        <w:gridCol w:w="1100"/>
        <w:gridCol w:w="1200"/>
        <w:gridCol w:w="1100"/>
        <w:gridCol w:w="1840"/>
      </w:tblGrid>
      <w:tr>
        <w:tc>
          <w:tcPr>
            <w:tcW w:type="dxa" w:w="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ID</w:t>
            </w:r>
          </w:p>
        </w:tc>
        <w:tc>
          <w:tcPr>
            <w:tcW w:type="dxa" w:w="2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Fire Name</w:t>
            </w:r>
          </w:p>
        </w:tc>
        <w:tc>
          <w:tcPr>
            <w:tcW w:type="dxa" w:w="6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Year</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Hectares</w:t>
            </w:r>
          </w:p>
        </w:tc>
        <w:tc>
          <w:tcPr>
            <w:tcW w:type="dxa" w:w="1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Mtl</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Tor. Peak</w:t>
            </w:r>
          </w:p>
        </w:tc>
        <w:tc>
          <w:tcPr>
            <w:tcW w:type="dxa" w:w="1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Alert</w:t>
            </w:r>
          </w:p>
        </w:tc>
        <w:tc>
          <w:tcPr>
            <w:tcW w:type="dxa" w:w="18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r>
      <w:tr>
        <w:tc>
          <w:tcPr>
            <w:tcW w:type="dxa" w:w="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w:t>
            </w:r>
          </w:p>
        </w:tc>
        <w:tc>
          <w:tcPr>
            <w:tcW w:type="dxa" w:w="2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La Grande Reservoir 3</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2023</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1,224,938</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1,350 km</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241</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9"/>
                <w:szCs w:val="19"/>
              </w:rPr>
              <w:t xml:space="preserve">EXTREME</w:t>
            </w:r>
          </w:p>
        </w:tc>
        <w:tc>
          <w:tcPr>
            <w:tcW w:type="dxa" w:w="1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Eastmain</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350,000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1,100 km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E67E22"/>
                <w:sz w:val="19"/>
                <w:szCs w:val="19"/>
              </w:rPr>
              <w:t xml:space="preserve">HIGH</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3</w:t>
            </w:r>
          </w:p>
        </w:tc>
        <w:tc>
          <w:tcPr>
            <w:tcW w:type="dxa" w:w="2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Lebel-sur-Quévillon</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2023</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460,000</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800 km</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241</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9"/>
                <w:szCs w:val="19"/>
              </w:rPr>
              <w:t xml:space="preserve">EXTREME</w:t>
            </w:r>
          </w:p>
        </w:tc>
        <w:tc>
          <w:tcPr>
            <w:tcW w:type="dxa" w:w="1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4</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Chibougamau-Chapais</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150,000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750 km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241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9"/>
                <w:szCs w:val="19"/>
              </w:rPr>
              <w:t xml:space="preserve">EXTREME</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5</w:t>
            </w:r>
          </w:p>
        </w:tc>
        <w:tc>
          <w:tcPr>
            <w:tcW w:type="dxa" w:w="2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Sept-Îles</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2023</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25,000</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950 km</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241</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9"/>
                <w:szCs w:val="19"/>
              </w:rPr>
              <w:t xml:space="preserve">EXTREME</w:t>
            </w:r>
          </w:p>
        </w:tc>
        <w:tc>
          <w:tcPr>
            <w:tcW w:type="dxa" w:w="1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6</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Wemotaci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2010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65,100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300 km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38</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D4AC0D"/>
                <w:sz w:val="19"/>
                <w:szCs w:val="19"/>
              </w:rPr>
              <w:t xml:space="preserve">MODERATE</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7</w:t>
            </w:r>
          </w:p>
        </w:tc>
        <w:tc>
          <w:tcPr>
            <w:tcW w:type="dxa" w:w="2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Normétal</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2023</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15,000</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720 km</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241</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9"/>
                <w:szCs w:val="19"/>
              </w:rPr>
              <w:t xml:space="preserve">EXTREME</w:t>
            </w:r>
          </w:p>
        </w:tc>
        <w:tc>
          <w:tcPr>
            <w:tcW w:type="dxa" w:w="1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8</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Baie-Johan-Beetz</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2013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1,150 km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E67E22"/>
                <w:sz w:val="19"/>
                <w:szCs w:val="19"/>
              </w:rPr>
              <w:t xml:space="preserve">HIGH</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9</w:t>
            </w:r>
          </w:p>
        </w:tc>
        <w:tc>
          <w:tcPr>
            <w:tcW w:type="dxa" w:w="2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Nemiscau</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2013</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25,000</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1,050 km</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70</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E67E22"/>
                <w:sz w:val="19"/>
                <w:szCs w:val="19"/>
              </w:rPr>
              <w:t xml:space="preserve">HIGH</w:t>
            </w:r>
          </w:p>
        </w:tc>
        <w:tc>
          <w:tcPr>
            <w:tcW w:type="dxa" w:w="1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10</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Val-d’Or/Senneterre</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8,000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600 km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241</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CC0000"/>
                <w:sz w:val="19"/>
                <w:szCs w:val="19"/>
              </w:rPr>
              <w:t xml:space="preserve">EXTREME</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11</w:t>
            </w:r>
          </w:p>
        </w:tc>
        <w:tc>
          <w:tcPr>
            <w:tcW w:type="dxa" w:w="2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Chute-des-Passes</w:t>
            </w:r>
          </w:p>
        </w:tc>
        <w:tc>
          <w:tcPr>
            <w:tcW w:type="dxa" w:w="6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2020</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60,000</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475 km</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51</w:t>
            </w:r>
          </w:p>
        </w:tc>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D4AC0D"/>
                <w:sz w:val="19"/>
                <w:szCs w:val="19"/>
              </w:rPr>
              <w:t xml:space="preserve">MODERATE</w:t>
            </w:r>
          </w:p>
        </w:tc>
        <w:tc>
          <w:tcPr>
            <w:tcW w:type="dxa" w:w="18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12</w:t>
            </w:r>
          </w:p>
        </w:tc>
        <w:tc>
          <w:tcPr>
            <w:tcW w:type="dxa" w:w="2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Chibougamau/Mistassini</w:t>
            </w:r>
          </w:p>
        </w:tc>
        <w:tc>
          <w:tcPr>
            <w:tcW w:type="dxa" w:w="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2005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170,000</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750 km</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65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E67E22"/>
                <w:sz w:val="19"/>
                <w:szCs w:val="19"/>
              </w:rPr>
              <w:t xml:space="preserve">HIGH</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TP</w:t>
            </w:r>
          </w:p>
        </w:tc>
      </w:tr>
    </w:tbl>
    <w:p>
      <w:pPr>
        <w:pStyle w:val="Heading2"/>
        <w:spacing w:before="280" w:after="160"/>
      </w:pPr>
      <w:r>
        <w:rPr>
          <w:rFonts w:ascii="Arial" w:cs="Arial" w:eastAsia="Arial" w:hAnsi="Arial"/>
          <w:b/>
          <w:bCs/>
          <w:color w:val="2E86C1"/>
          <w:sz w:val="26"/>
          <w:szCs w:val="26"/>
        </w:rPr>
        <w:t xml:space="preserve">6.3 NE Corridor Trigger Station Network</w:t>
      </w:r>
    </w:p>
    <w:p>
      <w:pPr>
        <w:spacing w:after="100"/>
        <w:jc w:val="left"/>
      </w:pPr>
      <w:r>
        <w:rPr>
          <w:rFonts w:ascii="Arial" w:cs="Arial" w:eastAsia="Arial" w:hAnsi="Arial"/>
          <w:sz w:val="20"/>
          <w:szCs w:val="20"/>
        </w:rPr>
        <w:t xml:space="preserve">Four Ontario NAPS stations serve as primary Quebec smoke detectors: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000"/>
        <w:gridCol w:w="900"/>
        <w:gridCol w:w="1300"/>
        <w:gridCol w:w="4040"/>
      </w:tblGrid>
      <w:tr>
        <w:tc>
          <w:tcPr>
            <w:tcW w:type="dxa" w:w="1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NAPS ID</w:t>
            </w:r>
          </w:p>
        </w:tc>
        <w:tc>
          <w:tcPr>
            <w:tcW w:type="dxa" w:w="1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w:t>
            </w:r>
          </w:p>
        </w:tc>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 (km)</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Dir.</w:t>
            </w:r>
          </w:p>
        </w:tc>
        <w:tc>
          <w:tcPr>
            <w:tcW w:type="dxa" w:w="13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Active</w:t>
            </w:r>
          </w:p>
        </w:tc>
        <w:tc>
          <w:tcPr>
            <w:tcW w:type="dxa" w:w="40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Strategic Role</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60104</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Ottawa</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341</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NE</w:t>
            </w:r>
          </w:p>
        </w:tc>
        <w:tc>
          <w:tcPr>
            <w:tcW w:type="dxa" w:w="1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2003–2023</w:t>
            </w:r>
          </w:p>
        </w:tc>
        <w:tc>
          <w:tcPr>
            <w:tcW w:type="dxa" w:w="40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Primary detector; sits in Ottawa Valley corridor; detects smoke from Abitibi, James Bay, and Haute-Mauricie fires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61201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Cornwall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387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ENE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2003–2023</w:t>
            </w:r>
          </w:p>
        </w:tc>
        <w:tc>
          <w:tcPr>
            <w:tcW w:type="dxa" w:w="4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Easternmost detector; captures smoke entering Ontario from Quebec via St. Lawrence Valley</w:t>
            </w:r>
          </w:p>
        </w:tc>
      </w:tr>
      <w:tr>
        <w:tc>
          <w:tcPr>
            <w:tcW w:type="dxa" w:w="11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66201</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Petawawa</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289</w:t>
            </w:r>
          </w:p>
        </w:tc>
        <w:tc>
          <w:tcPr>
            <w:tcW w:type="dxa" w:w="9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NNE</w:t>
            </w:r>
          </w:p>
        </w:tc>
        <w:tc>
          <w:tcPr>
            <w:tcW w:type="dxa" w:w="13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2007–2022</w:t>
            </w:r>
          </w:p>
        </w:tc>
        <w:tc>
          <w:tcPr>
            <w:tcW w:type="dxa" w:w="40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Closest NE station; excellent for Abitibi and James Bay fires</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65701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Morrisburg</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349</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ENE</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2005–2014</w:t>
            </w:r>
          </w:p>
        </w:tc>
        <w:tc>
          <w:tcPr>
            <w:tcW w:type="dxa" w:w="4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St. Lawrence corridor detector; supplements Cornwall for eastern smoke transport</w:t>
            </w:r>
          </w:p>
        </w:tc>
      </w:tr>
    </w:tbl>
    <w:p>
      <w:pPr>
        <w:pStyle w:val="Heading2"/>
        <w:spacing w:before="280" w:after="160"/>
      </w:pPr>
      <w:r>
        <w:rPr>
          <w:rFonts w:ascii="Arial" w:cs="Arial" w:eastAsia="Arial" w:hAnsi="Arial"/>
          <w:b/>
          <w:bCs/>
          <w:color w:val="2E86C1"/>
          <w:sz w:val="26"/>
          <w:szCs w:val="26"/>
        </w:rPr>
        <w:t xml:space="preserve">6.4 Supplementary Intermediate Stations</w:t>
      </w:r>
    </w:p>
    <w:p>
      <w:pPr>
        <w:spacing w:after="100"/>
        <w:jc w:val="left"/>
      </w:pPr>
      <w:r>
        <w:rPr>
          <w:rFonts w:ascii="Arial" w:cs="Arial" w:eastAsia="Arial" w:hAnsi="Arial"/>
          <w:sz w:val="20"/>
          <w:szCs w:val="20"/>
        </w:rPr>
        <w:t xml:space="preserve">These stations provide additional context but are NOT required for alert triggering: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000"/>
        <w:gridCol w:w="900"/>
        <w:gridCol w:w="5140"/>
      </w:tblGrid>
      <w:tr>
        <w:tc>
          <w:tcPr>
            <w:tcW w:type="dxa" w:w="11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NAPS ID</w:t>
            </w:r>
          </w:p>
        </w:tc>
        <w:tc>
          <w:tcPr>
            <w:tcW w:type="dxa" w:w="1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City</w:t>
            </w:r>
          </w:p>
        </w:tc>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Dir.</w:t>
            </w:r>
          </w:p>
        </w:tc>
        <w:tc>
          <w:tcPr>
            <w:tcW w:type="dxa" w:w="51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r>
      <w:tr>
        <w:tc>
          <w:tcPr>
            <w:tcW w:type="dxa" w:w="1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62001</w:t>
            </w:r>
          </w:p>
        </w:tc>
        <w:tc>
          <w:tcPr>
            <w:tcW w:type="dxa" w:w="1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North Bay</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287</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w:t>
            </w:r>
          </w:p>
        </w:tc>
        <w:tc>
          <w:tcPr>
            <w:tcW w:type="dxa" w:w="514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Northern corridor; detects smoke from James Bay and Abitibi</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63301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Dorset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166</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w:t>
            </w:r>
          </w:p>
        </w:tc>
        <w:tc>
          <w:tcPr>
            <w:tcW w:type="dxa" w:w="51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Intermediate between North Bay and Toronto</w:t>
            </w:r>
          </w:p>
        </w:tc>
      </w:tr>
      <w:tr>
        <w:tc>
          <w:tcPr>
            <w:tcW w:type="dxa" w:w="1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65201</w:t>
            </w:r>
          </w:p>
        </w:tc>
        <w:tc>
          <w:tcPr>
            <w:tcW w:type="dxa" w:w="1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Parry Sound</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187</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NNW</w:t>
            </w:r>
          </w:p>
        </w:tc>
        <w:tc>
          <w:tcPr>
            <w:tcW w:type="dxa" w:w="514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Western intermediate; detects deflected smoke</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65401</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Belleville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157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ENE</w:t>
            </w:r>
          </w:p>
        </w:tc>
        <w:tc>
          <w:tcPr>
            <w:tcW w:type="dxa" w:w="51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St. Lawrence corridor intermediate</w:t>
            </w:r>
          </w:p>
        </w:tc>
      </w:tr>
      <w:tr>
        <w:tc>
          <w:tcPr>
            <w:tcW w:type="dxa" w:w="11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60304</w:t>
            </w:r>
          </w:p>
        </w:tc>
        <w:tc>
          <w:tcPr>
            <w:tcW w:type="dxa" w:w="1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Kingston</w:t>
            </w:r>
          </w:p>
        </w:tc>
        <w:tc>
          <w:tcPr>
            <w:tcW w:type="dxa" w:w="1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227</w:t>
            </w:r>
          </w:p>
        </w:tc>
        <w:tc>
          <w:tcPr>
            <w:tcW w:type="dxa" w:w="9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ENE</w:t>
            </w:r>
          </w:p>
        </w:tc>
        <w:tc>
          <w:tcPr>
            <w:tcW w:type="dxa" w:w="514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Eastern corridor confirmation</w:t>
            </w:r>
          </w:p>
        </w:tc>
      </w:tr>
      <w:tr>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61104</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Peterborough</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107</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ENE</w:t>
            </w:r>
          </w:p>
        </w:tc>
        <w:tc>
          <w:tcPr>
            <w:tcW w:type="dxa" w:w="51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Near-field confirmation before Toronto arrival</w:t>
            </w:r>
          </w:p>
        </w:tc>
      </w:tr>
    </w:tbl>
    <w:p>
      <w:pPr>
        <w:pStyle w:val="Heading2"/>
        <w:spacing w:before="280" w:after="160"/>
      </w:pPr>
      <w:r>
        <w:rPr>
          <w:rFonts w:ascii="Arial" w:cs="Arial" w:eastAsia="Arial" w:hAnsi="Arial"/>
          <w:b/>
          <w:bCs/>
          <w:color w:val="2E86C1"/>
          <w:sz w:val="26"/>
          <w:szCs w:val="26"/>
        </w:rPr>
        <w:t xml:space="preserve">6.5 Optimized Rule Parameters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492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492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NE Corridor Trigger Threshold</w:t>
            </w:r>
          </w:p>
        </w:tc>
        <w:tc>
          <w:tcPr>
            <w:tcW w:type="dxa" w:w="492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40 µg/m³</w:t>
            </w:r>
          </w:p>
        </w:tc>
      </w:tr>
      <w:tr>
        <w:tc>
          <w:tcPr>
            <w:tcW w:type="dxa" w:w="4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Toronto Elevated Threshold</w:t>
            </w:r>
          </w:p>
        </w:tc>
        <w:tc>
          <w:tcPr>
            <w:tcW w:type="dxa" w:w="4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20 µg/m³</w:t>
            </w:r>
          </w:p>
        </w:tc>
      </w:tr>
      <w:tr>
        <w:tc>
          <w:tcPr>
            <w:tcW w:type="dxa" w:w="492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Evaluation Window</w:t>
            </w:r>
          </w:p>
        </w:tc>
        <w:tc>
          <w:tcPr>
            <w:tcW w:type="dxa" w:w="492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120 hours (5 days)</w:t>
            </w:r>
          </w:p>
        </w:tc>
      </w:tr>
      <w:tr>
        <w:tc>
          <w:tcPr>
            <w:tcW w:type="dxa" w:w="4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Event Cooldown</w:t>
            </w:r>
          </w:p>
        </w:tc>
        <w:tc>
          <w:tcPr>
            <w:tcW w:type="dxa" w:w="4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168 hours (7 days)</w:t>
            </w:r>
          </w:p>
        </w:tc>
      </w:tr>
      <w:tr>
        <w:tc>
          <w:tcPr>
            <w:tcW w:type="dxa" w:w="492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Primary Trigger Stations</w:t>
            </w:r>
          </w:p>
        </w:tc>
        <w:tc>
          <w:tcPr>
            <w:tcW w:type="dxa" w:w="492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Ottawa (60104), Cornwall (61201), Petawawa (66201), Morrisburg (65701)</w:t>
            </w:r>
          </w:p>
        </w:tc>
      </w:tr>
      <w:tr>
        <w:tc>
          <w:tcPr>
            <w:tcW w:type="dxa" w:w="4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Number of Trigger Stations Required</w:t>
            </w:r>
          </w:p>
        </w:tc>
        <w:tc>
          <w:tcPr>
            <w:tcW w:type="dxa" w:w="49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1 (any single station)</w:t>
            </w:r>
          </w:p>
        </w:tc>
      </w:tr>
    </w:tbl>
    <w:p>
      <w:pPr>
        <w:pStyle w:val="Heading2"/>
        <w:spacing w:before="280" w:after="160"/>
      </w:pPr>
      <w:r>
        <w:rPr>
          <w:rFonts w:ascii="Arial" w:cs="Arial" w:eastAsia="Arial" w:hAnsi="Arial"/>
          <w:b/>
          <w:bCs/>
          <w:color w:val="2E86C1"/>
          <w:sz w:val="26"/>
          <w:szCs w:val="26"/>
        </w:rPr>
        <w:t xml:space="preserve">6.6 Rule Logic (Step-by-Step)</w:t>
      </w:r>
    </w:p>
    <w:p>
      <w:pPr>
        <w:pStyle w:val="ListParagraph"/>
        <w:numPr>
          <w:ilvl w:val="0"/>
          <w:numId w:val="3"/>
        </w:numPr>
        <w:spacing w:after="100"/>
      </w:pPr>
      <w:r>
        <w:rPr>
          <w:rFonts w:ascii="Arial" w:cs="Arial" w:eastAsia="Arial" w:hAnsi="Arial"/>
          <w:b/>
          <w:bCs/>
          <w:sz w:val="20"/>
          <w:szCs w:val="20"/>
        </w:rPr>
        <w:t xml:space="preserve"> NE Corridor Trigger (T₀): </w:t>
      </w:r>
      <w:r>
        <w:rPr>
          <w:rFonts w:ascii="Arial" w:cs="Arial" w:eastAsia="Arial" w:hAnsi="Arial"/>
          <w:sz w:val="20"/>
          <w:szCs w:val="20"/>
        </w:rPr>
        <w:t xml:space="preserve">Hourly PM2.5 at any NE corridor trigger station exceeds 40 µg/m³. This is the first hour of a potential Quebec smoke transport event. Events separated by less than 168 hours (7 days) from a prior trigger are treated as part of the same event.</w:t>
      </w:r>
    </w:p>
    <w:p>
      <w:pPr>
        <w:pStyle w:val="ListParagraph"/>
        <w:numPr>
          <w:ilvl w:val="0"/>
          <w:numId w:val="3"/>
        </w:numPr>
        <w:spacing w:after="100"/>
      </w:pPr>
      <w:r>
        <w:rPr>
          <w:rFonts w:ascii="Arial" w:cs="Arial" w:eastAsia="Arial" w:hAnsi="Arial"/>
          <w:b/>
          <w:bCs/>
          <w:sz w:val="20"/>
          <w:szCs w:val="20"/>
        </w:rPr>
        <w:t xml:space="preserve"> Alert Issued: </w:t>
      </w:r>
      <w:r>
        <w:rPr>
          <w:rFonts w:ascii="Arial" w:cs="Arial" w:eastAsia="Arial" w:hAnsi="Arial"/>
          <w:sz w:val="20"/>
          <w:szCs w:val="20"/>
        </w:rPr>
        <w:t xml:space="preserve">A Rule 3 alert is issued at time T₀. The initial alert level is determined by the trigger station’s PM2.5 reading; once Toronto data becomes available, the alert level is updated based on Toronto_Max_PM25.</w:t>
      </w:r>
    </w:p>
    <w:p>
      <w:pPr>
        <w:pStyle w:val="ListParagraph"/>
        <w:numPr>
          <w:ilvl w:val="0"/>
          <w:numId w:val="3"/>
        </w:numPr>
        <w:spacing w:after="100"/>
      </w:pPr>
      <w:r>
        <w:rPr>
          <w:rFonts w:ascii="Arial" w:cs="Arial" w:eastAsia="Arial" w:hAnsi="Arial"/>
          <w:b/>
          <w:bCs/>
          <w:sz w:val="20"/>
          <w:szCs w:val="20"/>
        </w:rPr>
        <w:t xml:space="preserve"> Evaluation: </w:t>
      </w:r>
      <w:r>
        <w:rPr>
          <w:rFonts w:ascii="Arial" w:cs="Arial" w:eastAsia="Arial" w:hAnsi="Arial"/>
          <w:sz w:val="20"/>
          <w:szCs w:val="20"/>
        </w:rPr>
        <w:t xml:space="preserve">Toronto_Max_PM25 is monitored from T₀ to T₀ + 120 hours (5 days). If Toronto_Max_PM25 exceeds 20 µg/m³ at any point within this window, the event is classified as a True Positive. Otherwise, it is a False Positive.</w:t>
      </w:r>
    </w:p>
    <w:p>
      <w:pPr>
        <w:pStyle w:val="ListParagraph"/>
        <w:numPr>
          <w:ilvl w:val="0"/>
          <w:numId w:val="3"/>
        </w:numPr>
        <w:spacing w:after="100"/>
      </w:pPr>
      <w:r>
        <w:rPr>
          <w:rFonts w:ascii="Arial" w:cs="Arial" w:eastAsia="Arial" w:hAnsi="Arial"/>
          <w:b/>
          <w:bCs/>
          <w:sz w:val="20"/>
          <w:szCs w:val="20"/>
        </w:rPr>
        <w:t xml:space="preserve"> Lead Time: </w:t>
      </w:r>
      <w:r>
        <w:rPr>
          <w:rFonts w:ascii="Arial" w:cs="Arial" w:eastAsia="Arial" w:hAnsi="Arial"/>
          <w:sz w:val="20"/>
          <w:szCs w:val="20"/>
        </w:rPr>
        <w:t xml:space="preserve">Lead_Time = T_toronto_spike – T₀, where T_toronto_spike is the first hour when Toronto_Max_PM25 &gt; 20 µg/m³ within the evaluation window.</w:t>
      </w:r>
    </w:p>
    <w:p>
      <w:pPr>
        <w:pStyle w:val="Heading2"/>
        <w:spacing w:before="280" w:after="160"/>
      </w:pPr>
      <w:r>
        <w:rPr>
          <w:rFonts w:ascii="Arial" w:cs="Arial" w:eastAsia="Arial" w:hAnsi="Arial"/>
          <w:b/>
          <w:bCs/>
          <w:color w:val="2E86C1"/>
          <w:sz w:val="26"/>
          <w:szCs w:val="26"/>
        </w:rPr>
        <w:t xml:space="preserve">6.7 Historical Validation Results (2003–2023)</w:t>
      </w:r>
    </w:p>
    <w:p>
      <w:pPr>
        <w:spacing w:before="220" w:after="120"/>
      </w:pPr>
      <w:r>
        <w:rPr>
          <w:rFonts w:ascii="Arial" w:cs="Arial" w:eastAsia="Arial" w:hAnsi="Arial"/>
          <w:b/>
          <w:bCs/>
          <w:color w:val="2E86C1"/>
          <w:sz w:val="22"/>
          <w:szCs w:val="22"/>
        </w:rPr>
        <w:t xml:space="preserve">6.7.1 Full Fire Season Performance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0"/>
        <w:gridCol w:w="4340"/>
      </w:tblGrid>
      <w:tr>
        <w:tc>
          <w:tcPr>
            <w:tcW w:type="dxa" w:w="5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43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Total Events Detected</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57</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True Positives (TP)</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55</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False Positives (FP)</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Precision</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96.5%</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Mean Lead Time (TP events)</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11.7 hours</w:t>
            </w:r>
          </w:p>
        </w:tc>
      </w:tr>
      <w:tr>
        <w:tc>
          <w:tcPr>
            <w:tcW w:type="dxa" w:w="5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Median Lead Time</w:t>
            </w:r>
          </w:p>
        </w:tc>
        <w:tc>
          <w:tcPr>
            <w:tcW w:type="dxa" w:w="4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0.0 hours (simultaneous arrival)</w:t>
            </w:r>
          </w:p>
        </w:tc>
      </w:tr>
      <w:tr>
        <w:tc>
          <w:tcPr>
            <w:tcW w:type="dxa" w:w="5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Maximum Lead Time</w:t>
            </w:r>
          </w:p>
        </w:tc>
        <w:tc>
          <w:tcPr>
            <w:tcW w:type="dxa" w:w="43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93.0 hours (3.9 days)</w:t>
            </w:r>
          </w:p>
        </w:tc>
      </w:tr>
    </w:tbl>
    <w:p>
      <w:pPr>
        <w:spacing w:before="220" w:after="120"/>
      </w:pPr>
      <w:r>
        <w:rPr>
          <w:rFonts w:ascii="Arial" w:cs="Arial" w:eastAsia="Arial" w:hAnsi="Arial"/>
          <w:b/>
          <w:bCs/>
          <w:color w:val="2E86C1"/>
          <w:sz w:val="22"/>
          <w:szCs w:val="22"/>
        </w:rPr>
        <w:t xml:space="preserve">6.7.2 Grid Search Optimization</w:t>
      </w:r>
    </w:p>
    <w:p>
      <w:pPr>
        <w:spacing w:after="100"/>
        <w:jc w:val="left"/>
      </w:pPr>
      <w:r>
        <w:rPr>
          <w:rFonts w:ascii="Arial" w:cs="Arial" w:eastAsia="Arial" w:hAnsi="Arial"/>
          <w:sz w:val="20"/>
          <w:szCs w:val="20"/>
        </w:rPr>
        <w:t xml:space="preserve">The top five configurations tested across 20 parameter combinations: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700"/>
        <w:gridCol w:w="700"/>
        <w:gridCol w:w="1200"/>
        <w:gridCol w:w="1000"/>
        <w:gridCol w:w="1940"/>
      </w:tblGrid>
      <w:tr>
        <w:tc>
          <w:tcPr>
            <w:tcW w:type="dxa" w:w="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Station Config</w:t>
            </w:r>
          </w:p>
        </w:tc>
        <w:tc>
          <w:tcPr>
            <w:tcW w:type="dxa" w:w="1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Threshold</w:t>
            </w:r>
          </w:p>
        </w:tc>
        <w:tc>
          <w:tcPr>
            <w:tcW w:type="dxa" w:w="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TP</w:t>
            </w:r>
          </w:p>
        </w:tc>
        <w:tc>
          <w:tcPr>
            <w:tcW w:type="dxa" w:w="7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FP</w:t>
            </w:r>
          </w:p>
        </w:tc>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Precision</w:t>
            </w:r>
          </w:p>
        </w:tc>
        <w:tc>
          <w:tcPr>
            <w:tcW w:type="dxa" w:w="1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Events</w:t>
            </w:r>
          </w:p>
        </w:tc>
        <w:tc>
          <w:tcPr>
            <w:tcW w:type="dxa" w:w="19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Lead (h)</w:t>
            </w:r>
          </w:p>
        </w:tc>
      </w:tr>
      <w:tr>
        <w:tc>
          <w:tcPr>
            <w:tcW w:type="dxa" w:w="7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1*</w:t>
            </w:r>
          </w:p>
        </w:tc>
        <w:tc>
          <w:tcPr>
            <w:tcW w:type="dxa" w:w="22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NE Primary 4</w:t>
            </w:r>
          </w:p>
        </w:tc>
        <w:tc>
          <w:tcPr>
            <w:tcW w:type="dxa" w:w="14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40 µg/m³</w:t>
            </w:r>
          </w:p>
        </w:tc>
        <w:tc>
          <w:tcPr>
            <w:tcW w:type="dxa" w:w="7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55</w:t>
            </w:r>
          </w:p>
        </w:tc>
        <w:tc>
          <w:tcPr>
            <w:tcW w:type="dxa" w:w="7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2</w:t>
            </w:r>
          </w:p>
        </w:tc>
        <w:tc>
          <w:tcPr>
            <w:tcW w:type="dxa" w:w="12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96.5%</w:t>
            </w:r>
          </w:p>
        </w:tc>
        <w:tc>
          <w:tcPr>
            <w:tcW w:type="dxa" w:w="100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57</w:t>
            </w:r>
          </w:p>
        </w:tc>
        <w:tc>
          <w:tcPr>
            <w:tcW w:type="dxa" w:w="1940"/>
            <w:tcBorders>
              <w:top w:val="single" w:color="AAAAAA" w:sz="1"/>
              <w:left w:val="single" w:color="AAAAAA" w:sz="1"/>
              <w:bottom w:val="single" w:color="AAAAAA" w:sz="1"/>
              <w:right w:val="single" w:color="AAAAAA" w:sz="1"/>
            </w:tcBorders>
            <w:shd w:fill="D5F5E3" w:val="clear"/>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11.7</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NE Primary 3</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40 µg/m³</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53</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55</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12.2</w:t>
            </w:r>
          </w:p>
        </w:tc>
      </w:tr>
      <w:tr>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w:t>
            </w:r>
          </w:p>
        </w:tc>
        <w:tc>
          <w:tcPr>
            <w:tcW w:type="dxa" w:w="2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NE Extended 6</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30 µg/m³</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137</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96.5%</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142</w:t>
            </w:r>
          </w:p>
        </w:tc>
        <w:tc>
          <w:tcPr>
            <w:tcW w:type="dxa" w:w="19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14.7</w:t>
            </w:r>
          </w:p>
        </w:tc>
      </w:tr>
      <w:tr>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NE Primary 4</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35 µg/m³</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74</w:t>
            </w:r>
          </w:p>
        </w:tc>
        <w:tc>
          <w:tcPr>
            <w:tcW w:type="dxa" w:w="7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96.1%</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77</w:t>
            </w:r>
          </w:p>
        </w:tc>
        <w:tc>
          <w:tcPr>
            <w:tcW w:type="dxa" w:w="19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15.7</w:t>
            </w:r>
          </w:p>
        </w:tc>
      </w:tr>
      <w:tr>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w:t>
            </w:r>
          </w:p>
        </w:tc>
        <w:tc>
          <w:tcPr>
            <w:tcW w:type="dxa" w:w="2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NE Extended 6</w:t>
            </w:r>
          </w:p>
        </w:tc>
        <w:tc>
          <w:tcPr>
            <w:tcW w:type="dxa" w:w="14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40 µg/m³</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71</w:t>
            </w:r>
          </w:p>
        </w:tc>
        <w:tc>
          <w:tcPr>
            <w:tcW w:type="dxa" w:w="7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3</w:t>
            </w:r>
          </w:p>
        </w:tc>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95.9%</w:t>
            </w:r>
          </w:p>
        </w:tc>
        <w:tc>
          <w:tcPr>
            <w:tcW w:type="dxa" w:w="1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74</w:t>
            </w:r>
          </w:p>
        </w:tc>
        <w:tc>
          <w:tcPr>
            <w:tcW w:type="dxa" w:w="19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9.3</w:t>
            </w:r>
          </w:p>
        </w:tc>
      </w:tr>
    </w:tbl>
    <w:p>
      <w:pPr>
        <w:spacing w:after="100"/>
        <w:jc w:val="left"/>
      </w:pPr>
      <w:r>
        <w:rPr>
          <w:rFonts w:ascii="Arial" w:cs="Arial" w:eastAsia="Arial" w:hAnsi="Arial"/>
          <w:i/>
          <w:iCs/>
          <w:color w:val="555555"/>
          <w:sz w:val="20"/>
          <w:szCs w:val="20"/>
        </w:rPr>
        <w:t xml:space="preserve">* Recommended configuration. NE Primary 4 = Ottawa, Cornwall, Petawawa, Morrisburg.</w:t>
      </w:r>
    </w:p>
    <w:p>
      <w:pPr>
        <w:spacing w:before="220" w:after="120"/>
      </w:pPr>
      <w:r>
        <w:rPr>
          <w:rFonts w:ascii="Arial" w:cs="Arial" w:eastAsia="Arial" w:hAnsi="Arial"/>
          <w:b/>
          <w:bCs/>
          <w:color w:val="2E86C1"/>
          <w:sz w:val="22"/>
          <w:szCs w:val="22"/>
        </w:rPr>
        <w:t xml:space="preserve">6.7.3 Negative Lead Times Explained</w:t>
      </w:r>
    </w:p>
    <w:p>
      <w:pPr>
        <w:spacing w:after="100"/>
        <w:jc w:val="left"/>
      </w:pPr>
      <w:r>
        <w:rPr>
          <w:rFonts w:ascii="Arial" w:cs="Arial" w:eastAsia="Arial" w:hAnsi="Arial"/>
          <w:sz w:val="20"/>
          <w:szCs w:val="20"/>
        </w:rPr>
        <w:t xml:space="preserve">Most catalogued Quebec fires show negative lead times, meaning Toronto PM2.5 exceeded 20 µg/m³ before the NE corridor stations triggered at 40 µg/m³. This occurs because Quebec smoke from large fires often travels at high altitude and descends simultaneously over a wide area, and because the existing Rule 1 regional system already provides early detection. Rule 3’s primary value is as a dedicated Quebec fire confirmation system that adds robustness and source attribution.</w:t>
      </w:r>
    </w:p>
    <w:p>
      <w:pPr>
        <w:pStyle w:val="Heading2"/>
        <w:spacing w:before="280" w:after="160"/>
      </w:pPr>
      <w:r>
        <w:rPr>
          <w:rFonts w:ascii="Arial" w:cs="Arial" w:eastAsia="Arial" w:hAnsi="Arial"/>
          <w:b/>
          <w:bCs/>
          <w:color w:val="2E86C1"/>
          <w:sz w:val="26"/>
          <w:szCs w:val="26"/>
        </w:rPr>
        <w:t xml:space="preserve">6.8 Limitations</w:t>
      </w:r>
    </w:p>
    <w:p>
      <w:pPr>
        <w:pStyle w:val="ListParagraph"/>
        <w:numPr>
          <w:ilvl w:val="0"/>
          <w:numId w:val="2"/>
        </w:numPr>
        <w:spacing w:after="80"/>
      </w:pPr>
      <w:r>
        <w:rPr>
          <w:rFonts w:ascii="Arial" w:cs="Arial" w:eastAsia="Arial" w:hAnsi="Arial"/>
          <w:b/>
          <w:bCs/>
          <w:sz w:val="20"/>
          <w:szCs w:val="20"/>
        </w:rPr>
        <w:t xml:space="preserve">Ontario-only station network: </w:t>
      </w:r>
      <w:r>
        <w:rPr>
          <w:rFonts w:ascii="Arial" w:cs="Arial" w:eastAsia="Arial" w:hAnsi="Arial"/>
          <w:sz w:val="20"/>
          <w:szCs w:val="20"/>
        </w:rPr>
        <w:t xml:space="preserve">Rule 3 uses only Ontario NAPS stations. Incorporating Quebec NAPS data (Saguenay, Montréal, Trois-Rivières, etc.) would significantly improve lead time for distant fires.</w:t>
      </w:r>
    </w:p>
    <w:p>
      <w:pPr>
        <w:pStyle w:val="ListParagraph"/>
        <w:numPr>
          <w:ilvl w:val="0"/>
          <w:numId w:val="2"/>
        </w:numPr>
        <w:spacing w:after="80"/>
      </w:pPr>
      <w:r>
        <w:rPr>
          <w:rFonts w:ascii="Arial" w:cs="Arial" w:eastAsia="Arial" w:hAnsi="Arial"/>
          <w:b/>
          <w:bCs/>
          <w:sz w:val="20"/>
          <w:szCs w:val="20"/>
        </w:rPr>
        <w:t xml:space="preserve">Simultaneous arrival: </w:t>
      </w:r>
      <w:r>
        <w:rPr>
          <w:rFonts w:ascii="Arial" w:cs="Arial" w:eastAsia="Arial" w:hAnsi="Arial"/>
          <w:sz w:val="20"/>
          <w:szCs w:val="20"/>
        </w:rPr>
        <w:t xml:space="preserve">Quebec smoke frequently arrives at the NE corridor stations and Toronto nearly simultaneously (median lead time 0 hours). The NE corridor stations are only 289–387 km from Toronto while Quebec fires are 500–1,400 km away.</w:t>
      </w:r>
    </w:p>
    <w:p>
      <w:pPr>
        <w:pStyle w:val="ListParagraph"/>
        <w:numPr>
          <w:ilvl w:val="0"/>
          <w:numId w:val="2"/>
        </w:numPr>
        <w:spacing w:after="80"/>
      </w:pPr>
      <w:r>
        <w:rPr>
          <w:rFonts w:ascii="Arial" w:cs="Arial" w:eastAsia="Arial" w:hAnsi="Arial"/>
          <w:b/>
          <w:bCs/>
          <w:sz w:val="20"/>
          <w:szCs w:val="20"/>
        </w:rPr>
        <w:t xml:space="preserve">Station retirement: </w:t>
      </w:r>
      <w:r>
        <w:rPr>
          <w:rFonts w:ascii="Arial" w:cs="Arial" w:eastAsia="Arial" w:hAnsi="Arial"/>
          <w:sz w:val="20"/>
          <w:szCs w:val="20"/>
        </w:rPr>
        <w:t xml:space="preserve">Morrisburg (65701) was decommissioned after 2014, and Petawawa (66201) data ends in 2022. Future Rule 3 depends on Ottawa (60104) and Cornwall (61201) as remaining active trigger stations.</w:t>
      </w:r>
    </w:p>
    <w:p>
      <w:pPr>
        <w:pStyle w:val="ListParagraph"/>
        <w:numPr>
          <w:ilvl w:val="0"/>
          <w:numId w:val="2"/>
        </w:numPr>
        <w:spacing w:after="80"/>
      </w:pPr>
      <w:r>
        <w:rPr>
          <w:rFonts w:ascii="Arial" w:cs="Arial" w:eastAsia="Arial" w:hAnsi="Arial"/>
          <w:b/>
          <w:bCs/>
          <w:sz w:val="20"/>
          <w:szCs w:val="20"/>
        </w:rPr>
        <w:t xml:space="preserve">2023 mega-event dominance: </w:t>
      </w:r>
      <w:r>
        <w:rPr>
          <w:rFonts w:ascii="Arial" w:cs="Arial" w:eastAsia="Arial" w:hAnsi="Arial"/>
          <w:sz w:val="20"/>
          <w:szCs w:val="20"/>
        </w:rPr>
        <w:t xml:space="preserve">Seven of 12 catalogued Quebec fires occurred during June–July 2023. This single season heavily influences validation statistics.</w:t>
      </w:r>
    </w:p>
    <w:p>
      <w:pPr>
        <w:pStyle w:val="ListParagraph"/>
        <w:numPr>
          <w:ilvl w:val="0"/>
          <w:numId w:val="2"/>
        </w:numPr>
        <w:spacing w:after="80"/>
      </w:pPr>
      <w:r>
        <w:rPr>
          <w:rFonts w:ascii="Arial" w:cs="Arial" w:eastAsia="Arial" w:hAnsi="Arial"/>
          <w:b/>
          <w:bCs/>
          <w:sz w:val="20"/>
          <w:szCs w:val="20"/>
        </w:rPr>
        <w:t xml:space="preserve">Cross-border smoke: </w:t>
      </w:r>
      <w:r>
        <w:rPr>
          <w:rFonts w:ascii="Arial" w:cs="Arial" w:eastAsia="Arial" w:hAnsi="Arial"/>
          <w:sz w:val="20"/>
          <w:szCs w:val="20"/>
        </w:rPr>
        <w:t xml:space="preserve">NE corridor stations may detect smoke from US northeast fires or general regional haze, which is appropriate for public health but may attribute non-Quebec events.</w:t>
      </w:r>
    </w:p>
    <w:p>
      <w:pPr>
        <w:pStyle w:val="Heading2"/>
        <w:spacing w:before="280" w:after="160"/>
      </w:pPr>
      <w:r>
        <w:rPr>
          <w:rFonts w:ascii="Arial" w:cs="Arial" w:eastAsia="Arial" w:hAnsi="Arial"/>
          <w:b/>
          <w:bCs/>
          <w:color w:val="2E86C1"/>
          <w:sz w:val="26"/>
          <w:szCs w:val="26"/>
        </w:rPr>
        <w:t xml:space="preserve">6.9 Recommended Quebec NAPS Stations for Future Enhancement</w:t>
      </w:r>
    </w:p>
    <w:p>
      <w:pPr>
        <w:spacing w:after="100"/>
        <w:jc w:val="left"/>
      </w:pPr>
      <w:r>
        <w:rPr>
          <w:rFonts w:ascii="Arial" w:cs="Arial" w:eastAsia="Arial" w:hAnsi="Arial"/>
          <w:sz w:val="20"/>
          <w:szCs w:val="20"/>
        </w:rPr>
        <w:t xml:space="preserve">Incorporating these Quebec stations would significantly increase lead time: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2440"/>
      </w:tblGrid>
      <w:tr>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Station</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Region</w:t>
            </w:r>
          </w:p>
        </w:tc>
        <w:tc>
          <w:tcPr>
            <w:tcW w:type="dxa" w:w="3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Strategic Value</w:t>
            </w:r>
          </w:p>
        </w:tc>
        <w:tc>
          <w:tcPr>
            <w:tcW w:type="dxa" w:w="24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Expected Benefit</w:t>
            </w:r>
          </w:p>
        </w:tc>
      </w:tr>
      <w:tr>
        <w:tc>
          <w:tcPr>
            <w:tcW w:type="dxa" w:w="18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Saguenay</w:t>
            </w:r>
          </w:p>
        </w:tc>
        <w:tc>
          <w:tcPr>
            <w:tcW w:type="dxa" w:w="24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Saguenay–Lac-St-Jean</w:t>
            </w:r>
          </w:p>
        </w:tc>
        <w:tc>
          <w:tcPr>
            <w:tcW w:type="dxa" w:w="32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Closest to northern Quebec fires</w:t>
            </w:r>
          </w:p>
        </w:tc>
        <w:tc>
          <w:tcPr>
            <w:tcW w:type="dxa" w:w="244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+12–24 h lead time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La Doré</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Lac-Saint-Jean</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Near Chibougamau fire corridor</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+12–24 h lead time</w:t>
            </w:r>
          </w:p>
        </w:tc>
      </w:tr>
      <w:tr>
        <w:tc>
          <w:tcPr>
            <w:tcW w:type="dxa" w:w="18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Lac-Édouard</w:t>
            </w:r>
          </w:p>
        </w:tc>
        <w:tc>
          <w:tcPr>
            <w:tcW w:type="dxa" w:w="24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Haute-Mauricie</w:t>
            </w:r>
          </w:p>
        </w:tc>
        <w:tc>
          <w:tcPr>
            <w:tcW w:type="dxa" w:w="32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Between fire sources and Ottawa</w:t>
            </w:r>
          </w:p>
        </w:tc>
        <w:tc>
          <w:tcPr>
            <w:tcW w:type="dxa" w:w="244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+6–12 h lead time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Trois-Rivières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Mauricie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St. Lawrence corridor</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+4–8 h lead time</w:t>
            </w:r>
          </w:p>
        </w:tc>
      </w:tr>
      <w:tr>
        <w:tc>
          <w:tcPr>
            <w:tcW w:type="dxa" w:w="18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Shawinigan</w:t>
            </w:r>
          </w:p>
        </w:tc>
        <w:tc>
          <w:tcPr>
            <w:tcW w:type="dxa" w:w="24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Mauricie</w:t>
            </w:r>
          </w:p>
        </w:tc>
        <w:tc>
          <w:tcPr>
            <w:tcW w:type="dxa" w:w="32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Ottawa Valley approach</w:t>
            </w:r>
          </w:p>
        </w:tc>
        <w:tc>
          <w:tcPr>
            <w:tcW w:type="dxa" w:w="244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+4–8 h lead time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Montréal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Greater Montréal</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Major corridor hub</w:t>
            </w:r>
          </w:p>
        </w:tc>
        <w:tc>
          <w:tcPr>
            <w:tcW w:type="dxa" w:w="24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+2–6 h lead time</w:t>
            </w:r>
          </w:p>
        </w:tc>
      </w:tr>
      <w:tr>
        <w:tc>
          <w:tcPr>
            <w:tcW w:type="dxa" w:w="18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Gatineau</w:t>
            </w:r>
          </w:p>
        </w:tc>
        <w:tc>
          <w:tcPr>
            <w:tcW w:type="dxa" w:w="24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Outaouais</w:t>
            </w:r>
          </w:p>
        </w:tc>
        <w:tc>
          <w:tcPr>
            <w:tcW w:type="dxa" w:w="320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Ottawa River corridor</w:t>
            </w:r>
          </w:p>
        </w:tc>
        <w:tc>
          <w:tcPr>
            <w:tcW w:type="dxa" w:w="2440"/>
            <w:tcBorders>
              <w:top w:val="single" w:color="AAAAAA" w:sz="1"/>
              <w:left w:val="single" w:color="AAAAAA" w:sz="1"/>
              <w:bottom w:val="single" w:color="AAAAAA" w:sz="1"/>
              <w:right w:val="single" w:color="AAAAAA" w:sz="1"/>
            </w:tcBorders>
            <w:shd w:fill="FEF9E7"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+2–4 h lead time</w:t>
            </w:r>
          </w:p>
        </w:tc>
      </w:tr>
    </w:tbl>
    <w:r>
      <w:br w:type="page"/>
    </w:r>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4F72" w:sz="2"/>
              <w:left w:val="single" w:color="1B4F72" w:sz="2"/>
              <w:bottom w:val="single" w:color="1B4F72" w:sz="2"/>
              <w:right w:val="single" w:color="1B4F72" w:sz="2"/>
            </w:tcBorders>
            <w:shd w:fill="1B4F72" w:val="clear"/>
            <w:tcMar>
              <w:top w:type="dxa" w:w="200"/>
              <w:left w:type="dxa" w:w="300"/>
              <w:bottom w:type="dxa" w:w="200"/>
              <w:right w:type="dxa" w:w="300"/>
            </w:tcMar>
          </w:tcPr>
          <w:p>
            <w:pPr>
              <w:jc w:val="center"/>
            </w:pPr>
            <w:r>
              <w:rPr>
                <w:rFonts w:ascii="Arial" w:cs="Arial" w:eastAsia="Arial" w:hAnsi="Arial"/>
                <w:b/>
                <w:bCs/>
                <w:color w:val="85C1E9"/>
                <w:sz w:val="28"/>
                <w:szCs w:val="28"/>
              </w:rPr>
              <w:t xml:space="preserve">PART IV</w:t>
            </w:r>
          </w:p>
          <w:p>
            <w:pPr>
              <w:spacing w:before="80"/>
              <w:jc w:val="center"/>
            </w:pPr>
            <w:r>
              <w:rPr>
                <w:rFonts w:ascii="Arial" w:cs="Arial" w:eastAsia="Arial" w:hAnsi="Arial"/>
                <w:b/>
                <w:bCs/>
                <w:color w:val="FFFFFF"/>
                <w:sz w:val="36"/>
                <w:szCs w:val="36"/>
              </w:rPr>
              <w:t xml:space="preserve">Shared Validation Methodology</w:t>
            </w:r>
          </w:p>
        </w:tc>
      </w:tr>
    </w:tbl>
    <w:p>
      <w:pPr>
        <w:spacing w:before="200"/>
      </w:pPr>
    </w:p>
    <w:p>
      <w:pPr>
        <w:pStyle w:val="Heading1"/>
        <w:spacing w:before="360" w:after="200"/>
      </w:pPr>
      <w:r>
        <w:rPr>
          <w:rFonts w:ascii="Arial" w:cs="Arial" w:eastAsia="Arial" w:hAnsi="Arial"/>
          <w:b/>
          <w:bCs/>
          <w:color w:val="1B4F72"/>
          <w:sz w:val="32"/>
          <w:szCs w:val="32"/>
        </w:rPr>
        <w:t xml:space="preserve">7. Validation Methodology (All Rules)</w:t>
      </w:r>
    </w:p>
    <w:p>
      <w:pPr>
        <w:pStyle w:val="Heading2"/>
        <w:spacing w:before="280" w:after="160"/>
      </w:pPr>
      <w:r>
        <w:rPr>
          <w:rFonts w:ascii="Arial" w:cs="Arial" w:eastAsia="Arial" w:hAnsi="Arial"/>
          <w:b/>
          <w:bCs/>
          <w:color w:val="2E86C1"/>
          <w:sz w:val="26"/>
          <w:szCs w:val="26"/>
        </w:rPr>
        <w:t xml:space="preserve">7.1 Highest Station Approach</w:t>
      </w:r>
    </w:p>
    <w:p>
      <w:pPr>
        <w:spacing w:after="100"/>
        <w:jc w:val="left"/>
      </w:pPr>
      <w:r>
        <w:rPr>
          <w:rFonts w:ascii="Arial" w:cs="Arial" w:eastAsia="Arial" w:hAnsi="Arial"/>
          <w:sz w:val="20"/>
          <w:szCs w:val="20"/>
        </w:rPr>
        <w:t xml:space="preserve">To account for missing data and station downtime, the validation methodology uses the highest PM2.5 reading recorded across all available Toronto NAPS stations at any given time.</w:t>
      </w:r>
    </w:p>
    <w:p>
      <w:pPr>
        <w:spacing w:before="220" w:after="120"/>
      </w:pPr>
      <w:r>
        <w:rPr>
          <w:rFonts w:ascii="Arial" w:cs="Arial" w:eastAsia="Arial" w:hAnsi="Arial"/>
          <w:b/>
          <w:bCs/>
          <w:color w:val="2E86C1"/>
          <w:sz w:val="22"/>
          <w:szCs w:val="22"/>
        </w:rPr>
        <w:t xml:space="preserve">Rationale</w:t>
      </w:r>
    </w:p>
    <w:p>
      <w:pPr>
        <w:pStyle w:val="ListParagraph"/>
        <w:numPr>
          <w:ilvl w:val="0"/>
          <w:numId w:val="2"/>
        </w:numPr>
        <w:spacing w:after="80"/>
      </w:pPr>
      <w:r>
        <w:rPr>
          <w:rFonts w:ascii="Arial" w:cs="Arial" w:eastAsia="Arial" w:hAnsi="Arial"/>
          <w:sz w:val="20"/>
          <w:szCs w:val="20"/>
        </w:rPr>
        <w:t xml:space="preserve">Air monitoring stations may experience data gaps due to maintenance, calibration, or technical issues</w:t>
      </w:r>
    </w:p>
    <w:p>
      <w:pPr>
        <w:pStyle w:val="ListParagraph"/>
        <w:numPr>
          <w:ilvl w:val="0"/>
          <w:numId w:val="2"/>
        </w:numPr>
        <w:spacing w:after="80"/>
      </w:pPr>
      <w:r>
        <w:rPr>
          <w:rFonts w:ascii="Arial" w:cs="Arial" w:eastAsia="Arial" w:hAnsi="Arial"/>
          <w:sz w:val="20"/>
          <w:szCs w:val="20"/>
        </w:rPr>
        <w:t xml:space="preserve">Forest fire smoke is transported across broad geographic areas, affecting multiple stations</w:t>
      </w:r>
    </w:p>
    <w:p>
      <w:pPr>
        <w:pStyle w:val="ListParagraph"/>
        <w:numPr>
          <w:ilvl w:val="0"/>
          <w:numId w:val="2"/>
        </w:numPr>
        <w:spacing w:after="80"/>
      </w:pPr>
      <w:r>
        <w:rPr>
          <w:rFonts w:ascii="Arial" w:cs="Arial" w:eastAsia="Arial" w:hAnsi="Arial"/>
          <w:sz w:val="20"/>
          <w:szCs w:val="20"/>
        </w:rPr>
        <w:t xml:space="preserve">Using the maximum value ensures that localized monitoring gaps do not result in missed smoke events</w:t>
      </w:r>
    </w:p>
    <w:p>
      <w:pPr>
        <w:pStyle w:val="ListParagraph"/>
        <w:numPr>
          <w:ilvl w:val="0"/>
          <w:numId w:val="2"/>
        </w:numPr>
        <w:spacing w:after="80"/>
      </w:pPr>
      <w:r>
        <w:rPr>
          <w:rFonts w:ascii="Arial" w:cs="Arial" w:eastAsia="Arial" w:hAnsi="Arial"/>
          <w:sz w:val="20"/>
          <w:szCs w:val="20"/>
        </w:rPr>
        <w:t xml:space="preserve">Historical validation requires data from stations that were active during past fire seasons</w:t>
      </w:r>
    </w:p>
    <w:p>
      <w:pPr>
        <w:spacing w:before="220" w:after="120"/>
      </w:pPr>
      <w:r>
        <w:rPr>
          <w:rFonts w:ascii="Arial" w:cs="Arial" w:eastAsia="Arial" w:hAnsi="Arial"/>
          <w:b/>
          <w:bCs/>
          <w:color w:val="2E86C1"/>
          <w:sz w:val="22"/>
          <w:szCs w:val="22"/>
        </w:rPr>
        <w:t xml:space="preserve">Calculation Formula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AAAAAA" w:sz="1"/>
              <w:left w:val="single" w:color="AAAAAA" w:sz="1"/>
              <w:bottom w:val="single" w:color="AAAAAA" w:sz="1"/>
              <w:right w:val="single" w:color="AAAAAA" w:sz="1"/>
            </w:tcBorders>
            <w:shd w:fill="F4F4F4" w:val="clear"/>
            <w:tcMar>
              <w:top w:type="dxa" w:w="80"/>
              <w:left w:type="dxa" w:w="200"/>
              <w:bottom w:type="dxa" w:w="80"/>
              <w:right w:type="dxa" w:w="200"/>
            </w:tcMar>
          </w:tcPr>
          <w:p>
            <w:r>
              <w:rPr>
                <w:rFonts w:ascii="Courier New" w:cs="Courier New" w:eastAsia="Courier New" w:hAnsi="Courier New"/>
                <w:sz w:val="18"/>
                <w:szCs w:val="18"/>
              </w:rPr>
              <w:t xml:space="preserve">Toronto_Max_PM25(t) = MAX( PM25_60410(t), PM25_60413(t), PM25_60421(t), PM25_60429(t), PM25_60430(t), PM25_60433(t), PM25_60435(t), PM25_60438(t), PM25_60439(t), PM25_60440(t), PM25_60445(t) )</w:t>
            </w:r>
          </w:p>
        </w:tc>
      </w:tr>
    </w:tbl>
    <w:p>
      <w:pPr>
        <w:spacing w:after="100"/>
        <w:jc w:val="left"/>
      </w:pPr>
      <w:r>
        <w:rPr>
          <w:rFonts w:ascii="Arial" w:cs="Arial" w:eastAsia="Arial" w:hAnsi="Arial"/>
          <w:sz w:val="20"/>
          <w:szCs w:val="20"/>
        </w:rPr>
        <w:t xml:space="preserve">Where PM25_XXXXX(t) represents the hourly PM2.5 concentration at station XXXXX at time t, and NULL values are excluded.</w:t>
      </w:r>
    </w:p>
    <w:p>
      <w:pPr>
        <w:pStyle w:val="Heading2"/>
        <w:spacing w:before="280" w:after="160"/>
      </w:pPr>
      <w:r>
        <w:rPr>
          <w:rFonts w:ascii="Arial" w:cs="Arial" w:eastAsia="Arial" w:hAnsi="Arial"/>
          <w:b/>
          <w:bCs/>
          <w:color w:val="2E86C1"/>
          <w:sz w:val="26"/>
          <w:szCs w:val="26"/>
        </w:rPr>
        <w:t xml:space="preserve">7.2 True Positive / False Positive Determination</w:t>
      </w:r>
    </w:p>
    <w:p>
      <w:pPr>
        <w:spacing w:after="100"/>
        <w:jc w:val="left"/>
      </w:pPr>
      <w:r>
        <w:rPr>
          <w:rFonts w:ascii="Arial" w:cs="Arial" w:eastAsia="Arial" w:hAnsi="Arial"/>
          <w:sz w:val="20"/>
          <w:szCs w:val="20"/>
        </w:rPr>
        <w:t xml:space="preserve">Alert accuracy is determined by comparing the alert issued by any rule against the actual highest PM2.5 level observed in Toronto within the 5-day evaluation window. The classification definitions are identical for all three rules: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Classification</w:t>
            </w:r>
          </w:p>
        </w:tc>
        <w:tc>
          <w:tcPr>
            <w:tcW w:type="dxa" w:w="76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True Positive (TP)</w:t>
            </w:r>
          </w:p>
        </w:tc>
        <w:tc>
          <w:tcPr>
            <w:tcW w:type="dxa" w:w="76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Alert issued AND Toronto_Max_PM25 &gt; 20 µg/m³ within 0 to +5 days of trigger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False Positive (FP)</w:t>
            </w:r>
          </w:p>
        </w:tc>
        <w:tc>
          <w:tcPr>
            <w:tcW w:type="dxa" w:w="7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Alert issued AND Toronto_Max_PM25 ≤ 20 µg/m³ throughout entire 0 to +5 day window</w:t>
            </w:r>
          </w:p>
        </w:tc>
      </w:tr>
      <w:tr>
        <w:tc>
          <w:tcPr>
            <w:tcW w:type="dxa" w:w="2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False Negative (FN)</w:t>
            </w:r>
          </w:p>
        </w:tc>
        <w:tc>
          <w:tcPr>
            <w:tcW w:type="dxa" w:w="76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 alert issued AND Toronto_Max_PM25 &gt; 20 µg/m³ (missed smoke event)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True Negative (TN)</w:t>
            </w:r>
          </w:p>
        </w:tc>
        <w:tc>
          <w:tcPr>
            <w:tcW w:type="dxa" w:w="7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No alert issued AND Toronto_Max_PM25 ≤ 20 µg/m³ (correct non-alert)</w:t>
            </w:r>
          </w:p>
        </w:tc>
      </w:tr>
    </w:tbl>
    <w:p>
      <w:pPr>
        <w:pStyle w:val="Heading2"/>
        <w:spacing w:before="280" w:after="160"/>
      </w:pPr>
      <w:r>
        <w:rPr>
          <w:rFonts w:ascii="Arial" w:cs="Arial" w:eastAsia="Arial" w:hAnsi="Arial"/>
          <w:b/>
          <w:bCs/>
          <w:color w:val="2E86C1"/>
          <w:sz w:val="26"/>
          <w:szCs w:val="26"/>
        </w:rPr>
        <w:t xml:space="preserve">7.3 Alert Level Accuracy Assessment</w:t>
      </w:r>
    </w:p>
    <w:p>
      <w:pPr>
        <w:spacing w:after="100"/>
        <w:jc w:val="left"/>
      </w:pPr>
      <w:r>
        <w:rPr>
          <w:rFonts w:ascii="Arial" w:cs="Arial" w:eastAsia="Arial" w:hAnsi="Arial"/>
          <w:sz w:val="20"/>
          <w:szCs w:val="20"/>
        </w:rPr>
        <w:t xml:space="preserve">When an alert is issued, the predicted risk level is compared against the actual observed level based on the peak Toronto_Max_PM25 within the evaluation window:</w:t>
      </w:r>
    </w:p>
    <w:p>
      <w:pPr>
        <w:pStyle w:val="ListParagraph"/>
        <w:numPr>
          <w:ilvl w:val="0"/>
          <w:numId w:val="2"/>
        </w:numPr>
        <w:spacing w:after="80"/>
      </w:pPr>
      <w:r>
        <w:rPr>
          <w:rFonts w:ascii="Arial" w:cs="Arial" w:eastAsia="Arial" w:hAnsi="Arial"/>
          <w:b/>
          <w:bCs/>
          <w:sz w:val="20"/>
          <w:szCs w:val="20"/>
        </w:rPr>
        <w:t xml:space="preserve">Exact Match: </w:t>
      </w:r>
      <w:r>
        <w:rPr>
          <w:rFonts w:ascii="Arial" w:cs="Arial" w:eastAsia="Arial" w:hAnsi="Arial"/>
          <w:sz w:val="20"/>
          <w:szCs w:val="20"/>
        </w:rPr>
        <w:t xml:space="preserve">Predicted level equals observed level</w:t>
      </w:r>
    </w:p>
    <w:p>
      <w:pPr>
        <w:pStyle w:val="ListParagraph"/>
        <w:numPr>
          <w:ilvl w:val="0"/>
          <w:numId w:val="2"/>
        </w:numPr>
        <w:spacing w:after="80"/>
      </w:pPr>
      <w:r>
        <w:rPr>
          <w:rFonts w:ascii="Arial" w:cs="Arial" w:eastAsia="Arial" w:hAnsi="Arial"/>
          <w:b/>
          <w:bCs/>
          <w:sz w:val="20"/>
          <w:szCs w:val="20"/>
        </w:rPr>
        <w:t xml:space="preserve">Within One Level: </w:t>
      </w:r>
      <w:r>
        <w:rPr>
          <w:rFonts w:ascii="Arial" w:cs="Arial" w:eastAsia="Arial" w:hAnsi="Arial"/>
          <w:sz w:val="20"/>
          <w:szCs w:val="20"/>
        </w:rPr>
        <w:t xml:space="preserve">Predicted level is one category above or below observed level</w:t>
      </w:r>
    </w:p>
    <w:p>
      <w:pPr>
        <w:pStyle w:val="ListParagraph"/>
        <w:numPr>
          <w:ilvl w:val="0"/>
          <w:numId w:val="2"/>
        </w:numPr>
        <w:spacing w:after="80"/>
      </w:pPr>
      <w:r>
        <w:rPr>
          <w:rFonts w:ascii="Arial" w:cs="Arial" w:eastAsia="Arial" w:hAnsi="Arial"/>
          <w:b/>
          <w:bCs/>
          <w:sz w:val="20"/>
          <w:szCs w:val="20"/>
        </w:rPr>
        <w:t xml:space="preserve">Significant Error: </w:t>
      </w:r>
      <w:r>
        <w:rPr>
          <w:rFonts w:ascii="Arial" w:cs="Arial" w:eastAsia="Arial" w:hAnsi="Arial"/>
          <w:sz w:val="20"/>
          <w:szCs w:val="20"/>
        </w:rPr>
        <w:t xml:space="preserve">Predicted level differs by two or more categories from observed level</w:t>
      </w:r>
    </w:p>
    <w:p>
      <w:pPr>
        <w:pStyle w:val="Heading2"/>
        <w:spacing w:before="280" w:after="160"/>
      </w:pPr>
      <w:r>
        <w:rPr>
          <w:rFonts w:ascii="Arial" w:cs="Arial" w:eastAsia="Arial" w:hAnsi="Arial"/>
          <w:b/>
          <w:bCs/>
          <w:color w:val="2E86C1"/>
          <w:sz w:val="26"/>
          <w:szCs w:val="26"/>
        </w:rPr>
        <w:t xml:space="preserve">7.4 Performance Metrics</w:t>
      </w:r>
    </w:p>
    <w:p>
      <w:pPr>
        <w:spacing w:after="100"/>
        <w:jc w:val="left"/>
      </w:pPr>
      <w:r>
        <w:rPr>
          <w:rFonts w:ascii="Arial" w:cs="Arial" w:eastAsia="Arial" w:hAnsi="Arial"/>
          <w:sz w:val="20"/>
          <w:szCs w:val="20"/>
        </w:rPr>
        <w:t xml:space="preserve">The following metrics are calculated for each rule independently and for the combined system:</w:t>
      </w:r>
    </w:p>
    <w:p>
      <w:pPr>
        <w:pStyle w:val="ListParagraph"/>
        <w:numPr>
          <w:ilvl w:val="0"/>
          <w:numId w:val="2"/>
        </w:numPr>
        <w:spacing w:after="80"/>
      </w:pPr>
      <w:r>
        <w:rPr>
          <w:rFonts w:ascii="Arial" w:cs="Arial" w:eastAsia="Arial" w:hAnsi="Arial"/>
          <w:sz w:val="20"/>
          <w:szCs w:val="20"/>
        </w:rPr>
        <w:t xml:space="preserve">Sensitivity (Recall) = TP / (TP + FN)</w:t>
      </w:r>
    </w:p>
    <w:p>
      <w:pPr>
        <w:pStyle w:val="ListParagraph"/>
        <w:numPr>
          <w:ilvl w:val="0"/>
          <w:numId w:val="2"/>
        </w:numPr>
        <w:spacing w:after="80"/>
      </w:pPr>
      <w:r>
        <w:rPr>
          <w:rFonts w:ascii="Arial" w:cs="Arial" w:eastAsia="Arial" w:hAnsi="Arial"/>
          <w:sz w:val="20"/>
          <w:szCs w:val="20"/>
        </w:rPr>
        <w:t xml:space="preserve">Specificity = TN / (TN + FP)</w:t>
      </w:r>
    </w:p>
    <w:p>
      <w:pPr>
        <w:pStyle w:val="ListParagraph"/>
        <w:numPr>
          <w:ilvl w:val="0"/>
          <w:numId w:val="2"/>
        </w:numPr>
        <w:spacing w:after="80"/>
      </w:pPr>
      <w:r>
        <w:rPr>
          <w:rFonts w:ascii="Arial" w:cs="Arial" w:eastAsia="Arial" w:hAnsi="Arial"/>
          <w:sz w:val="20"/>
          <w:szCs w:val="20"/>
        </w:rPr>
        <w:t xml:space="preserve">Precision (Positive Predictive Value) = TP / (TP + FP)</w:t>
      </w:r>
    </w:p>
    <w:p>
      <w:pPr>
        <w:pStyle w:val="ListParagraph"/>
        <w:numPr>
          <w:ilvl w:val="0"/>
          <w:numId w:val="2"/>
        </w:numPr>
        <w:spacing w:after="80"/>
      </w:pPr>
      <w:r>
        <w:rPr>
          <w:rFonts w:ascii="Arial" w:cs="Arial" w:eastAsia="Arial" w:hAnsi="Arial"/>
          <w:sz w:val="20"/>
          <w:szCs w:val="20"/>
        </w:rPr>
        <w:t xml:space="preserve">Accuracy = (TP + TN) / (TP + FP + TN + FN)</w:t>
      </w:r>
    </w:p>
    <w:p>
      <w:pPr>
        <w:pStyle w:val="ListParagraph"/>
        <w:numPr>
          <w:ilvl w:val="0"/>
          <w:numId w:val="2"/>
        </w:numPr>
        <w:spacing w:after="80"/>
      </w:pPr>
      <w:r>
        <w:rPr>
          <w:rFonts w:ascii="Arial" w:cs="Arial" w:eastAsia="Arial" w:hAnsi="Arial"/>
          <w:sz w:val="20"/>
          <w:szCs w:val="20"/>
        </w:rPr>
        <w:t xml:space="preserve">F1 Score = 2 × Precision × Sensitivity / (Precision + Sensitivity)</w:t>
      </w:r>
    </w:p>
    <w:p>
      <w:pPr>
        <w:pStyle w:val="ListParagraph"/>
        <w:numPr>
          <w:ilvl w:val="0"/>
          <w:numId w:val="2"/>
        </w:numPr>
        <w:spacing w:after="80"/>
      </w:pPr>
      <w:r>
        <w:rPr>
          <w:rFonts w:ascii="Arial" w:cs="Arial" w:eastAsia="Arial" w:hAnsi="Arial"/>
          <w:sz w:val="20"/>
          <w:szCs w:val="20"/>
        </w:rPr>
        <w:t xml:space="preserve">Mean / Median / Min / Max Lead Time (for TP events)</w:t>
      </w:r>
    </w:p>
    <w:r>
      <w:br w:type="page"/>
    </w:r>
    <w:p>
      <w:pPr>
        <w:pStyle w:val="Heading1"/>
        <w:spacing w:before="360" w:after="200"/>
      </w:pPr>
      <w:r>
        <w:rPr>
          <w:rFonts w:ascii="Arial" w:cs="Arial" w:eastAsia="Arial" w:hAnsi="Arial"/>
          <w:b/>
          <w:bCs/>
          <w:color w:val="1B4F72"/>
          <w:sz w:val="32"/>
          <w:szCs w:val="32"/>
        </w:rPr>
        <w:t xml:space="preserve">8. Data Processing Steps</w:t>
      </w:r>
    </w:p>
    <w:p>
      <w:pPr>
        <w:pStyle w:val="Heading2"/>
        <w:spacing w:before="280" w:after="160"/>
      </w:pPr>
      <w:r>
        <w:rPr>
          <w:rFonts w:ascii="Arial" w:cs="Arial" w:eastAsia="Arial" w:hAnsi="Arial"/>
          <w:b/>
          <w:bCs/>
          <w:color w:val="2E86C1"/>
          <w:sz w:val="26"/>
          <w:szCs w:val="26"/>
        </w:rPr>
        <w:t xml:space="preserve">8.1 Rule 1 Processing</w:t>
      </w:r>
    </w:p>
    <w:p>
      <w:pPr>
        <w:pStyle w:val="ListParagraph"/>
        <w:numPr>
          <w:ilvl w:val="0"/>
          <w:numId w:val="4"/>
        </w:numPr>
        <w:spacing w:after="60"/>
      </w:pPr>
      <w:r>
        <w:rPr>
          <w:rFonts w:ascii="Arial" w:cs="Arial" w:eastAsia="Arial" w:hAnsi="Arial"/>
          <w:sz w:val="20"/>
          <w:szCs w:val="20"/>
        </w:rPr>
        <w:t xml:space="preserve">Retrieve hourly PM2.5 values for all 11 Toronto NAPS stations for the validation period</w:t>
      </w:r>
    </w:p>
    <w:p>
      <w:pPr>
        <w:pStyle w:val="ListParagraph"/>
        <w:numPr>
          <w:ilvl w:val="0"/>
          <w:numId w:val="4"/>
        </w:numPr>
        <w:spacing w:after="60"/>
      </w:pPr>
      <w:r>
        <w:rPr>
          <w:rFonts w:ascii="Arial" w:cs="Arial" w:eastAsia="Arial" w:hAnsi="Arial"/>
          <w:sz w:val="20"/>
          <w:szCs w:val="20"/>
        </w:rPr>
        <w:t xml:space="preserve">Retrieve hourly PM2.5 values for all regional alert stations (Tier 1A, 1B, 2, 3)</w:t>
      </w:r>
    </w:p>
    <w:p>
      <w:pPr>
        <w:pStyle w:val="ListParagraph"/>
        <w:numPr>
          <w:ilvl w:val="0"/>
          <w:numId w:val="4"/>
        </w:numPr>
        <w:spacing w:after="60"/>
      </w:pPr>
      <w:r>
        <w:rPr>
          <w:rFonts w:ascii="Arial" w:cs="Arial" w:eastAsia="Arial" w:hAnsi="Arial"/>
          <w:sz w:val="20"/>
          <w:szCs w:val="20"/>
        </w:rPr>
        <w:t xml:space="preserve">Identify all hours when any regional alert station first exceeds 40 µg/m³ (T₀ events)</w:t>
      </w:r>
    </w:p>
    <w:p>
      <w:pPr>
        <w:pStyle w:val="ListParagraph"/>
        <w:numPr>
          <w:ilvl w:val="0"/>
          <w:numId w:val="4"/>
        </w:numPr>
        <w:spacing w:after="60"/>
      </w:pPr>
      <w:r>
        <w:rPr>
          <w:rFonts w:ascii="Arial" w:cs="Arial" w:eastAsia="Arial" w:hAnsi="Arial"/>
          <w:sz w:val="20"/>
          <w:szCs w:val="20"/>
        </w:rPr>
        <w:t xml:space="preserve">For each T₀ event, define the evaluation window as T₀ to T₀ + 120 hours (5 days)</w:t>
      </w:r>
    </w:p>
    <w:p>
      <w:pPr>
        <w:pStyle w:val="ListParagraph"/>
        <w:numPr>
          <w:ilvl w:val="0"/>
          <w:numId w:val="4"/>
        </w:numPr>
        <w:spacing w:after="60"/>
      </w:pPr>
      <w:r>
        <w:rPr>
          <w:rFonts w:ascii="Arial" w:cs="Arial" w:eastAsia="Arial" w:hAnsi="Arial"/>
          <w:sz w:val="20"/>
          <w:szCs w:val="20"/>
        </w:rPr>
        <w:t xml:space="preserve">Calculate Toronto_Max_PM25 for each hour within the evaluation window</w:t>
      </w:r>
    </w:p>
    <w:p>
      <w:pPr>
        <w:pStyle w:val="ListParagraph"/>
        <w:numPr>
          <w:ilvl w:val="0"/>
          <w:numId w:val="4"/>
        </w:numPr>
        <w:spacing w:after="60"/>
      </w:pPr>
      <w:r>
        <w:rPr>
          <w:rFonts w:ascii="Arial" w:cs="Arial" w:eastAsia="Arial" w:hAnsi="Arial"/>
          <w:sz w:val="20"/>
          <w:szCs w:val="20"/>
        </w:rPr>
        <w:t xml:space="preserve">Determine if Toronto_Max_PM25 exceeds 20 µg/m³ at any point within the window</w:t>
      </w:r>
    </w:p>
    <w:p>
      <w:pPr>
        <w:pStyle w:val="ListParagraph"/>
        <w:numPr>
          <w:ilvl w:val="0"/>
          <w:numId w:val="4"/>
        </w:numPr>
        <w:spacing w:after="60"/>
      </w:pPr>
      <w:r>
        <w:rPr>
          <w:rFonts w:ascii="Arial" w:cs="Arial" w:eastAsia="Arial" w:hAnsi="Arial"/>
          <w:sz w:val="20"/>
          <w:szCs w:val="20"/>
        </w:rPr>
        <w:t xml:space="preserve">Classify each alert as TP (Toronto &gt; 20) or FP (Toronto ≤ 20 throughout window)</w:t>
      </w:r>
    </w:p>
    <w:p>
      <w:pPr>
        <w:pStyle w:val="ListParagraph"/>
        <w:numPr>
          <w:ilvl w:val="0"/>
          <w:numId w:val="4"/>
        </w:numPr>
        <w:spacing w:after="60"/>
      </w:pPr>
      <w:r>
        <w:rPr>
          <w:rFonts w:ascii="Arial" w:cs="Arial" w:eastAsia="Arial" w:hAnsi="Arial"/>
          <w:sz w:val="20"/>
          <w:szCs w:val="20"/>
        </w:rPr>
        <w:t xml:space="preserve">Calculate lead time for TP events: T_toronto_spike – T₀</w:t>
      </w:r>
    </w:p>
    <w:p>
      <w:pPr>
        <w:pStyle w:val="ListParagraph"/>
        <w:numPr>
          <w:ilvl w:val="0"/>
          <w:numId w:val="4"/>
        </w:numPr>
        <w:spacing w:after="60"/>
      </w:pPr>
      <w:r>
        <w:rPr>
          <w:rFonts w:ascii="Arial" w:cs="Arial" w:eastAsia="Arial" w:hAnsi="Arial"/>
          <w:sz w:val="20"/>
          <w:szCs w:val="20"/>
        </w:rPr>
        <w:t xml:space="preserve">Calculate accuracy metrics: Sensitivity, Specificity, Precision, Mean Lead Time</w:t>
      </w:r>
    </w:p>
    <w:p>
      <w:pPr>
        <w:pStyle w:val="Heading2"/>
        <w:spacing w:before="280" w:after="160"/>
      </w:pPr>
      <w:r>
        <w:rPr>
          <w:rFonts w:ascii="Arial" w:cs="Arial" w:eastAsia="Arial" w:hAnsi="Arial"/>
          <w:b/>
          <w:bCs/>
          <w:color w:val="2E86C1"/>
          <w:sz w:val="26"/>
          <w:szCs w:val="26"/>
        </w:rPr>
        <w:t xml:space="preserve">8.2 Rule 2 Processing</w:t>
      </w:r>
    </w:p>
    <w:p>
      <w:pPr>
        <w:pStyle w:val="ListParagraph"/>
        <w:numPr>
          <w:ilvl w:val="0"/>
          <w:numId w:val="4"/>
        </w:numPr>
        <w:spacing w:after="60"/>
      </w:pPr>
      <w:r>
        <w:rPr>
          <w:rFonts w:ascii="Arial" w:cs="Arial" w:eastAsia="Arial" w:hAnsi="Arial"/>
          <w:sz w:val="20"/>
          <w:szCs w:val="20"/>
        </w:rPr>
        <w:t xml:space="preserve">Retrieve hourly PM2.5 values for Thunder Bay stations (60807, 60809) for the validation period</w:t>
      </w:r>
    </w:p>
    <w:p>
      <w:pPr>
        <w:pStyle w:val="ListParagraph"/>
        <w:numPr>
          <w:ilvl w:val="0"/>
          <w:numId w:val="4"/>
        </w:numPr>
        <w:spacing w:after="60"/>
      </w:pPr>
      <w:r>
        <w:rPr>
          <w:rFonts w:ascii="Arial" w:cs="Arial" w:eastAsia="Arial" w:hAnsi="Arial"/>
          <w:sz w:val="20"/>
          <w:szCs w:val="20"/>
        </w:rPr>
        <w:t xml:space="preserve">Retrieve hourly PM2.5 values for all 6 intermediate stations (Sault Ste. Marie, Sudbury, North Bay, Parry Sound, Tiverton, Grand Bend)</w:t>
      </w:r>
    </w:p>
    <w:p>
      <w:pPr>
        <w:pStyle w:val="ListParagraph"/>
        <w:numPr>
          <w:ilvl w:val="0"/>
          <w:numId w:val="4"/>
        </w:numPr>
        <w:spacing w:after="60"/>
      </w:pPr>
      <w:r>
        <w:rPr>
          <w:rFonts w:ascii="Arial" w:cs="Arial" w:eastAsia="Arial" w:hAnsi="Arial"/>
          <w:sz w:val="20"/>
          <w:szCs w:val="20"/>
        </w:rPr>
        <w:t xml:space="preserve">Identify distinct Thunder Bay trigger events: first hour when Thunder Bay max PM2.5 &gt; 35 µg/m³, with 168-hour cooldown between events</w:t>
      </w:r>
    </w:p>
    <w:p>
      <w:pPr>
        <w:pStyle w:val="ListParagraph"/>
        <w:numPr>
          <w:ilvl w:val="0"/>
          <w:numId w:val="4"/>
        </w:numPr>
        <w:spacing w:after="60"/>
      </w:pPr>
      <w:r>
        <w:rPr>
          <w:rFonts w:ascii="Arial" w:cs="Arial" w:eastAsia="Arial" w:hAnsi="Arial"/>
          <w:sz w:val="20"/>
          <w:szCs w:val="20"/>
        </w:rPr>
        <w:t xml:space="preserve">For each Thunder Bay trigger (T₀), check intermediate stations within 96-hour confirmation window</w:t>
      </w:r>
    </w:p>
    <w:p>
      <w:pPr>
        <w:pStyle w:val="ListParagraph"/>
        <w:numPr>
          <w:ilvl w:val="0"/>
          <w:numId w:val="4"/>
        </w:numPr>
        <w:spacing w:after="60"/>
      </w:pPr>
      <w:r>
        <w:rPr>
          <w:rFonts w:ascii="Arial" w:cs="Arial" w:eastAsia="Arial" w:hAnsi="Arial"/>
          <w:sz w:val="20"/>
          <w:szCs w:val="20"/>
        </w:rPr>
        <w:t xml:space="preserve">If ≥1 intermediate station exceeds 20 µg/m³ within the confirmation window, record confirmation time (T₁) and issue alert</w:t>
      </w:r>
    </w:p>
    <w:p>
      <w:pPr>
        <w:pStyle w:val="ListParagraph"/>
        <w:numPr>
          <w:ilvl w:val="0"/>
          <w:numId w:val="4"/>
        </w:numPr>
        <w:spacing w:after="60"/>
      </w:pPr>
      <w:r>
        <w:rPr>
          <w:rFonts w:ascii="Arial" w:cs="Arial" w:eastAsia="Arial" w:hAnsi="Arial"/>
          <w:sz w:val="20"/>
          <w:szCs w:val="20"/>
        </w:rPr>
        <w:t xml:space="preserve">If no intermediate station confirms within 96 hours, classify as TN (if Toronto ≤ 20) or FN (if Toronto &gt; 20)</w:t>
      </w:r>
    </w:p>
    <w:p>
      <w:pPr>
        <w:pStyle w:val="ListParagraph"/>
        <w:numPr>
          <w:ilvl w:val="0"/>
          <w:numId w:val="4"/>
        </w:numPr>
        <w:spacing w:after="60"/>
      </w:pPr>
      <w:r>
        <w:rPr>
          <w:rFonts w:ascii="Arial" w:cs="Arial" w:eastAsia="Arial" w:hAnsi="Arial"/>
          <w:sz w:val="20"/>
          <w:szCs w:val="20"/>
        </w:rPr>
        <w:t xml:space="preserve">For issued alerts, define evaluation window as T₁ to T₁ + 120 hours</w:t>
      </w:r>
    </w:p>
    <w:p>
      <w:pPr>
        <w:pStyle w:val="ListParagraph"/>
        <w:numPr>
          <w:ilvl w:val="0"/>
          <w:numId w:val="4"/>
        </w:numPr>
        <w:spacing w:after="60"/>
      </w:pPr>
      <w:r>
        <w:rPr>
          <w:rFonts w:ascii="Arial" w:cs="Arial" w:eastAsia="Arial" w:hAnsi="Arial"/>
          <w:sz w:val="20"/>
          <w:szCs w:val="20"/>
        </w:rPr>
        <w:t xml:space="preserve">Calculate Toronto_Max_PM25 for each hour within the evaluation window</w:t>
      </w:r>
    </w:p>
    <w:p>
      <w:pPr>
        <w:pStyle w:val="ListParagraph"/>
        <w:numPr>
          <w:ilvl w:val="0"/>
          <w:numId w:val="4"/>
        </w:numPr>
        <w:spacing w:after="60"/>
      </w:pPr>
      <w:r>
        <w:rPr>
          <w:rFonts w:ascii="Arial" w:cs="Arial" w:eastAsia="Arial" w:hAnsi="Arial"/>
          <w:sz w:val="20"/>
          <w:szCs w:val="20"/>
        </w:rPr>
        <w:t xml:space="preserve">Classify each alert as TP (Toronto &gt; 20) or FP (Toronto ≤ 20 throughout window)</w:t>
      </w:r>
    </w:p>
    <w:p>
      <w:pPr>
        <w:pStyle w:val="ListParagraph"/>
        <w:numPr>
          <w:ilvl w:val="0"/>
          <w:numId w:val="4"/>
        </w:numPr>
        <w:spacing w:after="60"/>
      </w:pPr>
      <w:r>
        <w:rPr>
          <w:rFonts w:ascii="Arial" w:cs="Arial" w:eastAsia="Arial" w:hAnsi="Arial"/>
          <w:sz w:val="20"/>
          <w:szCs w:val="20"/>
        </w:rPr>
        <w:t xml:space="preserve">Calculate lead time for TP events: T_toronto_spike – T₁</w:t>
      </w:r>
    </w:p>
    <w:p>
      <w:pPr>
        <w:pStyle w:val="ListParagraph"/>
        <w:numPr>
          <w:ilvl w:val="0"/>
          <w:numId w:val="4"/>
        </w:numPr>
        <w:spacing w:after="60"/>
      </w:pPr>
      <w:r>
        <w:rPr>
          <w:rFonts w:ascii="Arial" w:cs="Arial" w:eastAsia="Arial" w:hAnsi="Arial"/>
          <w:sz w:val="20"/>
          <w:szCs w:val="20"/>
        </w:rPr>
        <w:t xml:space="preserve">Calculate accuracy metrics: Sensitivity, Specificity, Precision, Mean Lead Time</w:t>
      </w:r>
    </w:p>
    <w:p>
      <w:pPr>
        <w:pStyle w:val="Heading2"/>
        <w:spacing w:before="280" w:after="160"/>
      </w:pPr>
      <w:r>
        <w:rPr>
          <w:rFonts w:ascii="Arial" w:cs="Arial" w:eastAsia="Arial" w:hAnsi="Arial"/>
          <w:b/>
          <w:bCs/>
          <w:color w:val="2E86C1"/>
          <w:sz w:val="26"/>
          <w:szCs w:val="26"/>
        </w:rPr>
        <w:t xml:space="preserve">8.3 Rule 3 Processing</w:t>
      </w:r>
    </w:p>
    <w:p>
      <w:pPr>
        <w:pStyle w:val="ListParagraph"/>
        <w:numPr>
          <w:ilvl w:val="0"/>
          <w:numId w:val="4"/>
        </w:numPr>
        <w:spacing w:after="60"/>
      </w:pPr>
      <w:r>
        <w:rPr>
          <w:rFonts w:ascii="Arial" w:cs="Arial" w:eastAsia="Arial" w:hAnsi="Arial"/>
          <w:sz w:val="20"/>
          <w:szCs w:val="20"/>
        </w:rPr>
        <w:t xml:space="preserve">Retrieve hourly PM2.5 values for NE corridor stations (Ottawa 60104, Cornwall 61201, Petawawa 66201, Morrisburg 65701)</w:t>
      </w:r>
    </w:p>
    <w:p>
      <w:pPr>
        <w:pStyle w:val="ListParagraph"/>
        <w:numPr>
          <w:ilvl w:val="0"/>
          <w:numId w:val="4"/>
        </w:numPr>
        <w:spacing w:after="60"/>
      </w:pPr>
      <w:r>
        <w:rPr>
          <w:rFonts w:ascii="Arial" w:cs="Arial" w:eastAsia="Arial" w:hAnsi="Arial"/>
          <w:sz w:val="20"/>
          <w:szCs w:val="20"/>
        </w:rPr>
        <w:t xml:space="preserve">Identify distinct NE corridor trigger events: first hour when any NE corridor station exceeds 40 µg/m³, with 168-hour cooldown between events</w:t>
      </w:r>
    </w:p>
    <w:p>
      <w:pPr>
        <w:pStyle w:val="ListParagraph"/>
        <w:numPr>
          <w:ilvl w:val="0"/>
          <w:numId w:val="4"/>
        </w:numPr>
        <w:spacing w:after="60"/>
      </w:pPr>
      <w:r>
        <w:rPr>
          <w:rFonts w:ascii="Arial" w:cs="Arial" w:eastAsia="Arial" w:hAnsi="Arial"/>
          <w:sz w:val="20"/>
          <w:szCs w:val="20"/>
        </w:rPr>
        <w:t xml:space="preserve">For each NE corridor trigger (T₀), define evaluation window as T₀ to T₀ + 120 hours</w:t>
      </w:r>
    </w:p>
    <w:p>
      <w:pPr>
        <w:pStyle w:val="ListParagraph"/>
        <w:numPr>
          <w:ilvl w:val="0"/>
          <w:numId w:val="4"/>
        </w:numPr>
        <w:spacing w:after="60"/>
      </w:pPr>
      <w:r>
        <w:rPr>
          <w:rFonts w:ascii="Arial" w:cs="Arial" w:eastAsia="Arial" w:hAnsi="Arial"/>
          <w:sz w:val="20"/>
          <w:szCs w:val="20"/>
        </w:rPr>
        <w:t xml:space="preserve">Calculate Toronto_Max_PM25 for each hour within the evaluation window</w:t>
      </w:r>
    </w:p>
    <w:p>
      <w:pPr>
        <w:pStyle w:val="ListParagraph"/>
        <w:numPr>
          <w:ilvl w:val="0"/>
          <w:numId w:val="4"/>
        </w:numPr>
        <w:spacing w:after="60"/>
      </w:pPr>
      <w:r>
        <w:rPr>
          <w:rFonts w:ascii="Arial" w:cs="Arial" w:eastAsia="Arial" w:hAnsi="Arial"/>
          <w:sz w:val="20"/>
          <w:szCs w:val="20"/>
        </w:rPr>
        <w:t xml:space="preserve">Classify each alert as TP (Toronto &gt; 20) or FP (Toronto ≤ 20 throughout window)</w:t>
      </w:r>
    </w:p>
    <w:p>
      <w:pPr>
        <w:pStyle w:val="ListParagraph"/>
        <w:numPr>
          <w:ilvl w:val="0"/>
          <w:numId w:val="4"/>
        </w:numPr>
        <w:spacing w:after="60"/>
      </w:pPr>
      <w:r>
        <w:rPr>
          <w:rFonts w:ascii="Arial" w:cs="Arial" w:eastAsia="Arial" w:hAnsi="Arial"/>
          <w:sz w:val="20"/>
          <w:szCs w:val="20"/>
        </w:rPr>
        <w:t xml:space="preserve">Calculate lead time for TP events: T_toronto_spike – T₀</w:t>
      </w:r>
    </w:p>
    <w:p>
      <w:pPr>
        <w:pStyle w:val="ListParagraph"/>
        <w:numPr>
          <w:ilvl w:val="0"/>
          <w:numId w:val="4"/>
        </w:numPr>
        <w:spacing w:after="60"/>
      </w:pPr>
      <w:r>
        <w:rPr>
          <w:rFonts w:ascii="Arial" w:cs="Arial" w:eastAsia="Arial" w:hAnsi="Arial"/>
          <w:sz w:val="20"/>
          <w:szCs w:val="20"/>
        </w:rPr>
        <w:t xml:space="preserve">Calculate accuracy metrics: Sensitivity, Specificity, Precision, Mean Lead Time</w:t>
      </w:r>
    </w:p>
    <w:p>
      <w:pPr>
        <w:pStyle w:val="Heading2"/>
        <w:spacing w:before="280" w:after="160"/>
      </w:pPr>
      <w:r>
        <w:rPr>
          <w:rFonts w:ascii="Arial" w:cs="Arial" w:eastAsia="Arial" w:hAnsi="Arial"/>
          <w:b/>
          <w:bCs/>
          <w:color w:val="2E86C1"/>
          <w:sz w:val="26"/>
          <w:szCs w:val="26"/>
        </w:rPr>
        <w:t xml:space="preserve">8.4 Combined System</w:t>
      </w:r>
    </w:p>
    <w:p>
      <w:pPr>
        <w:spacing w:after="100"/>
        <w:jc w:val="left"/>
      </w:pPr>
      <w:r>
        <w:rPr>
          <w:rFonts w:ascii="Arial" w:cs="Arial" w:eastAsia="Arial" w:hAnsi="Arial"/>
          <w:sz w:val="20"/>
          <w:szCs w:val="20"/>
        </w:rPr>
        <w:t xml:space="preserve">The combined alert system issues an alert whenever any of the three rules triggers. For combined validation:</w:t>
      </w:r>
    </w:p>
    <w:p>
      <w:pPr>
        <w:pStyle w:val="ListParagraph"/>
        <w:numPr>
          <w:ilvl w:val="0"/>
          <w:numId w:val="2"/>
        </w:numPr>
        <w:spacing w:after="80"/>
      </w:pPr>
      <w:r>
        <w:rPr>
          <w:rFonts w:ascii="Arial" w:cs="Arial" w:eastAsia="Arial" w:hAnsi="Arial"/>
          <w:sz w:val="20"/>
          <w:szCs w:val="20"/>
        </w:rPr>
        <w:t xml:space="preserve">An event is classified as a True Positive if any rule correctly predicted the smoke event</w:t>
      </w:r>
    </w:p>
    <w:p>
      <w:pPr>
        <w:pStyle w:val="ListParagraph"/>
        <w:numPr>
          <w:ilvl w:val="0"/>
          <w:numId w:val="2"/>
        </w:numPr>
        <w:spacing w:after="80"/>
      </w:pPr>
      <w:r>
        <w:rPr>
          <w:rFonts w:ascii="Arial" w:cs="Arial" w:eastAsia="Arial" w:hAnsi="Arial"/>
          <w:sz w:val="20"/>
          <w:szCs w:val="20"/>
        </w:rPr>
        <w:t xml:space="preserve">A False Negative occurs only if all three rules fail to detect a Toronto PM2.5 elevation above 20 µg/m³</w:t>
      </w:r>
    </w:p>
    <w:p>
      <w:pPr>
        <w:pStyle w:val="ListParagraph"/>
        <w:numPr>
          <w:ilvl w:val="0"/>
          <w:numId w:val="2"/>
        </w:numPr>
        <w:spacing w:after="80"/>
      </w:pPr>
      <w:r>
        <w:rPr>
          <w:rFonts w:ascii="Arial" w:cs="Arial" w:eastAsia="Arial" w:hAnsi="Arial"/>
          <w:sz w:val="20"/>
          <w:szCs w:val="20"/>
        </w:rPr>
        <w:t xml:space="preserve">When multiple rules trigger simultaneously, the earliest T₀ defines the alert start time</w:t>
      </w:r>
    </w:p>
    <w:p>
      <w:pPr>
        <w:pStyle w:val="ListParagraph"/>
        <w:numPr>
          <w:ilvl w:val="0"/>
          <w:numId w:val="2"/>
        </w:numPr>
        <w:spacing w:after="80"/>
      </w:pPr>
      <w:r>
        <w:rPr>
          <w:rFonts w:ascii="Arial" w:cs="Arial" w:eastAsia="Arial" w:hAnsi="Arial"/>
          <w:sz w:val="20"/>
          <w:szCs w:val="20"/>
        </w:rPr>
        <w:t xml:space="preserve">The highest alert level from any rule defines the current alert severity</w:t>
      </w:r>
    </w:p>
    <w:r>
      <w:br w:type="page"/>
    </w:r>
    <w:p>
      <w:pPr>
        <w:pStyle w:val="Heading1"/>
        <w:spacing w:before="360" w:after="200"/>
      </w:pPr>
      <w:r>
        <w:rPr>
          <w:rFonts w:ascii="Arial" w:cs="Arial" w:eastAsia="Arial" w:hAnsi="Arial"/>
          <w:b/>
          <w:bCs/>
          <w:color w:val="1B4F72"/>
          <w:sz w:val="32"/>
          <w:szCs w:val="32"/>
        </w:rPr>
        <w:t xml:space="preserve">9. Summary of Key Parameters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2280"/>
        <w:gridCol w:w="2280"/>
      </w:tblGrid>
      <w:tr>
        <w:tc>
          <w:tcPr>
            <w:tcW w:type="dxa" w:w="30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228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Rule 1 (Regional)</w:t>
            </w:r>
          </w:p>
        </w:tc>
        <w:tc>
          <w:tcPr>
            <w:tcW w:type="dxa" w:w="228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Rule 2 (NW Ontario)</w:t>
            </w:r>
          </w:p>
        </w:tc>
        <w:tc>
          <w:tcPr>
            <w:tcW w:type="dxa" w:w="228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Rule 3 (Quebec)</w:t>
            </w:r>
          </w:p>
        </w:tc>
      </w:tr>
      <w:tr>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Trigger Station(s)</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Regional NAPS (100–600 km)</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Thunder Bay (60807, 60809)</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Ottawa, Cornwall, Petawawa, Morrisburg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Trigger Threshold</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40 µg/m³</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35 µg/m³</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40 µg/m³</w:t>
            </w:r>
          </w:p>
        </w:tc>
      </w:tr>
      <w:tr>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Confirmation Required?</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No</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Yes – ≥1 intermediate &gt; 20 µg/m³ within 96h</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No</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Intermediate Stations</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N/A</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SSM, Sudbury, North Bay, Parry Sound, Tiverton, Grand Bend</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N/A (supplementary only)</w:t>
            </w:r>
          </w:p>
        </w:tc>
      </w:tr>
      <w:tr>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Evaluation Window</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120 hours (5 days)</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120 hours (5 days)</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120 hours (5 days)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Toronto Elevated Threshold</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20 µg/m³</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20 µg/m³</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&gt; 20 µg/m³</w:t>
            </w:r>
          </w:p>
        </w:tc>
      </w:tr>
      <w:tr>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Toronto Station Method</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Max of all 11 NAPS</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Max of all 11 NAPS</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Max of all 11 NAPS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Lead Time Calculation</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T(spike) – T₀(station &gt; 40)</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T(spike) – T₁(intermediate)</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T(spike) – T₀(NE station &gt; 40)</w:t>
            </w:r>
          </w:p>
        </w:tc>
      </w:tr>
      <w:tr>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Coverage Range</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100–600 km (all dirs)</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1,000–1,800 km (NW)</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500–1,400 km (NE)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Event Cooldown</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N/A</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168 hours (7 days)</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168 hours (7 days)</w:t>
            </w:r>
          </w:p>
        </w:tc>
      </w:tr>
      <w:tr>
        <w:tc>
          <w:tcPr>
            <w:tcW w:type="dxa" w:w="30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Historical Precision</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High</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100%</w:t>
            </w:r>
          </w:p>
        </w:tc>
        <w:tc>
          <w:tcPr>
            <w:tcW w:type="dxa" w:w="228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96.5%</w:t>
            </w:r>
          </w:p>
        </w:tc>
      </w:tr>
    </w:tbl>
    <w:p>
      <w:pPr>
        <w:spacing w:after="100"/>
        <w:jc w:val="left"/>
      </w:pPr>
      <w:r>
        <w:rPr>
          <w:rFonts w:ascii="Arial" w:cs="Arial" w:eastAsia="Arial" w:hAnsi="Arial"/>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1B4F72" w:sz="2"/>
              <w:left w:val="single" w:color="1B4F72" w:sz="2"/>
              <w:bottom w:val="single" w:color="1B4F72" w:sz="2"/>
              <w:right w:val="single" w:color="1B4F72" w:sz="2"/>
            </w:tcBorders>
            <w:shd w:fill="EBF5FB" w:val="clear"/>
            <w:tcMar>
              <w:top w:type="dxa" w:w="120"/>
              <w:left w:type="dxa" w:w="200"/>
              <w:bottom w:type="dxa" w:w="120"/>
              <w:right w:type="dxa" w:w="200"/>
            </w:tcMar>
          </w:tcPr>
          <w:p>
            <w:pPr>
              <w:spacing w:after="60"/>
            </w:pPr>
            <w:r>
              <w:rPr>
                <w:rFonts w:ascii="Arial" w:cs="Arial" w:eastAsia="Arial" w:hAnsi="Arial"/>
                <w:b/>
                <w:bCs/>
                <w:color w:val="1B4F72"/>
                <w:sz w:val="20"/>
                <w:szCs w:val="20"/>
              </w:rPr>
              <w:t xml:space="preserve">ALERT LEVEL THRESHOLDS (all rules)</w:t>
            </w:r>
          </w:p>
          <w:p>
            <w:r>
              <w:rPr>
                <w:rFonts w:ascii="Arial" w:cs="Arial" w:eastAsia="Arial" w:hAnsi="Arial"/>
                <w:sz w:val="19"/>
                <w:szCs w:val="19"/>
              </w:rPr>
              <w:t xml:space="preserve">LOW (0–20 µg/m³)  |  MODERATE (21–60 µg/m³)  |  HIGH (61–80 µg/m³)  |  VERY HIGH (81–120 µg/m³)  |  EXTREME (&gt;120 µg/m³)</w:t>
            </w:r>
          </w:p>
        </w:tc>
      </w:tr>
    </w:tbl>
    <w:r>
      <w:br w:type="page"/>
    </w:r>
    <w:p>
      <w:pPr>
        <w:pStyle w:val="Heading1"/>
        <w:spacing w:before="360" w:after="200"/>
      </w:pPr>
      <w:r>
        <w:rPr>
          <w:rFonts w:ascii="Arial" w:cs="Arial" w:eastAsia="Arial" w:hAnsi="Arial"/>
          <w:b/>
          <w:bCs/>
          <w:color w:val="1B4F72"/>
          <w:sz w:val="32"/>
          <w:szCs w:val="32"/>
        </w:rPr>
        <w:t xml:space="preserve">10. Reference Implementation</w:t>
      </w:r>
    </w:p>
    <w:p>
      <w:pPr>
        <w:spacing w:after="100"/>
        <w:jc w:val="left"/>
      </w:pPr>
      <w:r>
        <w:rPr>
          <w:rFonts w:ascii="Arial" w:cs="Arial" w:eastAsia="Arial" w:hAnsi="Arial"/>
          <w:sz w:val="20"/>
          <w:szCs w:val="20"/>
        </w:rPr>
        <w:t xml:space="preserve">The reference implementation code is provided in the companion file: Canadian_City_PM25_Reference_Code.py. Key constants for all three rules:</w:t>
      </w:r>
    </w:p>
    <w:p>
      <w:pPr>
        <w:pStyle w:val="Heading2"/>
        <w:spacing w:before="280" w:after="160"/>
      </w:pPr>
      <w:r>
        <w:rPr>
          <w:rFonts w:ascii="Arial" w:cs="Arial" w:eastAsia="Arial" w:hAnsi="Arial"/>
          <w:b/>
          <w:bCs/>
          <w:color w:val="2E86C1"/>
          <w:sz w:val="26"/>
          <w:szCs w:val="26"/>
        </w:rPr>
        <w:t xml:space="preserve">10.1 Rule 1 Constants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AAAAAA" w:sz="1"/>
              <w:left w:val="single" w:color="AAAAAA" w:sz="1"/>
              <w:bottom w:val="single" w:color="AAAAAA" w:sz="1"/>
              <w:right w:val="single" w:color="AAAAAA" w:sz="1"/>
            </w:tcBorders>
            <w:shd w:fill="F4F4F4" w:val="clear"/>
            <w:tcMar>
              <w:top w:type="dxa" w:w="80"/>
              <w:left w:type="dxa" w:w="200"/>
              <w:bottom w:type="dxa" w:w="80"/>
              <w:right w:type="dxa" w:w="200"/>
            </w:tcMar>
          </w:tcPr>
          <w:p>
            <w:r>
              <w:rPr>
                <w:rFonts w:ascii="Courier New" w:cs="Courier New" w:eastAsia="Courier New" w:hAnsi="Courier New"/>
                <w:sz w:val="18"/>
                <w:szCs w:val="18"/>
              </w:rPr>
              <w:t xml:space="preserve">TORONTO_STATIONS = [60410, 60413, 60421, 60429, 60430, 60433, 60435, 60438, 60439, 60440, 60445]
ALERT_STATION_TRIGGER = 40        # µg/m³
TORONTO_ELEVATED_THRESHOLD = 20   # µg/m³
EVALUATION_WINDOW_HOURS = 120     # 5 days</w:t>
            </w:r>
          </w:p>
        </w:tc>
      </w:tr>
    </w:tbl>
    <w:p>
      <w:pPr>
        <w:pStyle w:val="Heading2"/>
        <w:spacing w:before="280" w:after="160"/>
      </w:pPr>
      <w:r>
        <w:rPr>
          <w:rFonts w:ascii="Arial" w:cs="Arial" w:eastAsia="Arial" w:hAnsi="Arial"/>
          <w:b/>
          <w:bCs/>
          <w:color w:val="2E86C1"/>
          <w:sz w:val="26"/>
          <w:szCs w:val="26"/>
        </w:rPr>
        <w:t xml:space="preserve">10.2 Rule 2 Constants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AAAAAA" w:sz="1"/>
              <w:left w:val="single" w:color="AAAAAA" w:sz="1"/>
              <w:bottom w:val="single" w:color="AAAAAA" w:sz="1"/>
              <w:right w:val="single" w:color="AAAAAA" w:sz="1"/>
            </w:tcBorders>
            <w:shd w:fill="F4F4F4" w:val="clear"/>
            <w:tcMar>
              <w:top w:type="dxa" w:w="80"/>
              <w:left w:type="dxa" w:w="200"/>
              <w:bottom w:type="dxa" w:w="80"/>
              <w:right w:type="dxa" w:w="200"/>
            </w:tcMar>
          </w:tcPr>
          <w:p>
            <w:r>
              <w:rPr>
                <w:rFonts w:ascii="Courier New" w:cs="Courier New" w:eastAsia="Courier New" w:hAnsi="Courier New"/>
                <w:sz w:val="18"/>
                <w:szCs w:val="18"/>
              </w:rPr>
              <w:t xml:space="preserve">THUNDER_BAY_STATIONS = [60807, 60809]
INTERMEDIATE_STATIONS = {
    'Sault Ste Marie': [60707, 60709],
    'Sudbury':          [60609, 60610],
    'North Bay':        [62001],
    'Parry Sound':      [65201],
    'Tiverton':         [62501],
    'Grand Bend':       [63701]
}
TB_TRIGGER_THRESHOLD = 35         # µg/m³
INTERMEDIATE_THRESHOLD = 20       # µg/m³
CONFIRMATION_WINDOW_HOURS = 96    # 4 days
MIN_CONFIRMED_STATIONS = 1
EVALUATION_WINDOW_HOURS = 120     # 5 days
EVENT_COOLDOWN_HOURS = 168        # 7 days</w:t>
            </w:r>
          </w:p>
        </w:tc>
      </w:tr>
    </w:tbl>
    <w:p>
      <w:pPr>
        <w:pStyle w:val="Heading2"/>
        <w:spacing w:before="280" w:after="160"/>
      </w:pPr>
      <w:r>
        <w:rPr>
          <w:rFonts w:ascii="Arial" w:cs="Arial" w:eastAsia="Arial" w:hAnsi="Arial"/>
          <w:b/>
          <w:bCs/>
          <w:color w:val="2E86C1"/>
          <w:sz w:val="26"/>
          <w:szCs w:val="26"/>
        </w:rPr>
        <w:t xml:space="preserve">10.3 Rule 3 Constants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AAAAAA" w:sz="1"/>
              <w:left w:val="single" w:color="AAAAAA" w:sz="1"/>
              <w:bottom w:val="single" w:color="AAAAAA" w:sz="1"/>
              <w:right w:val="single" w:color="AAAAAA" w:sz="1"/>
            </w:tcBorders>
            <w:shd w:fill="F4F4F4" w:val="clear"/>
            <w:tcMar>
              <w:top w:type="dxa" w:w="80"/>
              <w:left w:type="dxa" w:w="200"/>
              <w:bottom w:type="dxa" w:w="80"/>
              <w:right w:type="dxa" w:w="200"/>
            </w:tcMar>
          </w:tcPr>
          <w:p>
            <w:r>
              <w:rPr>
                <w:rFonts w:ascii="Courier New" w:cs="Courier New" w:eastAsia="Courier New" w:hAnsi="Courier New"/>
                <w:sz w:val="18"/>
                <w:szCs w:val="18"/>
              </w:rPr>
              <w:t xml:space="preserve">NE_CORRIDOR_STATIONS = [60104, 61201, 66201, 65701]
NE_INTERMEDIATE_STATIONS = {
    'North Bay':    [62001],
    'Dorset':       [63301],
    'Parry Sound':  [65201],
    'Belleville':   [65401],
    'Kingston':     [60304, 60303],
    'Peterborough': [61104]
}
NE_TRIGGER_THRESHOLD = 40         # µg/m³
TORONTO_ELEVATED_THRESHOLD = 20   # µg/m³
EVALUATION_WINDOW_HOURS = 120     # 5 days
EVENT_COOLDOWN_HOURS = 168        # 7 days</w:t>
            </w:r>
          </w:p>
        </w:tc>
      </w:tr>
    </w:tbl>
    <w:p>
      <w:pPr>
        <w:pStyle w:val="Heading1"/>
        <w:spacing w:before="360" w:after="200"/>
      </w:pPr>
      <w:r>
        <w:rPr>
          <w:rFonts w:ascii="Arial" w:cs="Arial" w:eastAsia="Arial" w:hAnsi="Arial"/>
          <w:b/>
          <w:bCs/>
          <w:color w:val="1B4F72"/>
          <w:sz w:val="32"/>
          <w:szCs w:val="32"/>
        </w:rPr>
        <w:t xml:space="preserve">11. Version History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7140"/>
      </w:tblGrid>
      <w:tr>
        <w:tc>
          <w:tcPr>
            <w:tcW w:type="dxa" w:w="12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5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714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Changes</w:t>
            </w:r>
          </w:p>
        </w:tc>
      </w:tr>
      <w:tr>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1.0</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Jan 2026</w:t>
            </w:r>
          </w:p>
        </w:tc>
        <w:tc>
          <w:tcPr>
            <w:tcW w:type="dxa" w:w="71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Initial release with Rule 1 (Regional Station Alert) validation methodology.</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1.1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Feb 2026</w:t>
            </w:r>
          </w:p>
        </w:tc>
        <w:tc>
          <w:tcPr>
            <w:tcW w:type="dxa" w:w="71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Refined Rule 1 thresholds and evaluation window documentation.</w:t>
            </w:r>
          </w:p>
        </w:tc>
      </w:tr>
      <w:tr>
        <w:tc>
          <w:tcPr>
            <w:tcW w:type="dxa" w:w="12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2.0</w:t>
            </w:r>
          </w:p>
        </w:tc>
        <w:tc>
          <w:tcPr>
            <w:tcW w:type="dxa" w:w="150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Feb 2026</w:t>
            </w:r>
          </w:p>
        </w:tc>
        <w:tc>
          <w:tcPr>
            <w:tcW w:type="dxa" w:w="7140"/>
            <w:tcBorders>
              <w:top w:val="single" w:color="AAAAAA" w:sz="1"/>
              <w:left w:val="single" w:color="AAAAAA" w:sz="1"/>
              <w:bottom w:val="single" w:color="AAAAAA" w:sz="1"/>
              <w:right w:val="single" w:color="AAAAAA" w:sz="1"/>
            </w:tcBorders>
            <w:shd w:fill="F2F8FC" w:val="clear"/>
            <w:tcMar>
              <w:top w:type="dxa" w:w="60"/>
              <w:left w:type="dxa" w:w="100"/>
              <w:bottom w:type="dxa" w:w="60"/>
              <w:right w:type="dxa" w:w="100"/>
            </w:tcMar>
          </w:tcPr>
          <w:p>
            <w:pPr>
              <w:spacing w:before="20" w:after="20"/>
              <w:jc w:val="left"/>
            </w:pPr>
            <w:r>
              <w:rPr>
                <w:rFonts w:ascii="Arial" w:cs="Arial" w:eastAsia="Arial" w:hAnsi="Arial"/>
                <w:b w:val="false"/>
                <w:bCs w:val="false"/>
                <w:i w:val="false"/>
                <w:iCs w:val="false"/>
                <w:color w:val="000000"/>
                <w:sz w:val="19"/>
                <w:szCs w:val="19"/>
              </w:rPr>
              <w:t xml:space="preserve">Added Rule 2 (NW Ontario Sequential Detection) with Thunder Bay trigger and intermediate station confirmation. Combined document format with Parts I, II, and III structure.</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bCs/>
                <w:i w:val="false"/>
                <w:iCs w:val="false"/>
                <w:color w:val="000000"/>
                <w:sz w:val="19"/>
                <w:szCs w:val="19"/>
              </w:rPr>
              <w:t xml:space="preserve">3.0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center"/>
            </w:pPr>
            <w:r>
              <w:rPr>
                <w:rFonts w:ascii="Arial" w:cs="Arial" w:eastAsia="Arial" w:hAnsi="Arial"/>
                <w:b w:val="false"/>
                <w:bCs w:val="false"/>
                <w:i w:val="false"/>
                <w:iCs w:val="false"/>
                <w:color w:val="000000"/>
                <w:sz w:val="19"/>
                <w:szCs w:val="19"/>
              </w:rPr>
              <w:t xml:space="preserve">Feb 2026</w:t>
            </w:r>
          </w:p>
        </w:tc>
        <w:tc>
          <w:tcPr>
            <w:tcW w:type="dxa" w:w="71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before="20" w:after="20"/>
              <w:jc w:val="left"/>
            </w:pPr>
            <w:r>
              <w:rPr>
                <w:rFonts w:ascii="Arial" w:cs="Arial" w:eastAsia="Arial" w:hAnsi="Arial"/>
                <w:b/>
                <w:bCs/>
                <w:i w:val="false"/>
                <w:iCs w:val="false"/>
                <w:color w:val="000000"/>
                <w:sz w:val="19"/>
                <w:szCs w:val="19"/>
              </w:rPr>
              <w:t xml:space="preserve">Added Rule 3 (Quebec NE Corridor Detection) for Quebec forest fire smoke. Unified all three rules into single comprehensive methodology document with four-part structure. Updated combined system validation to include three-rule integration.</w:t>
            </w:r>
          </w:p>
        </w:tc>
      </w:tr>
    </w:tbl>
    <w:p>
      <w:pPr>
        <w:spacing w:before="600"/>
      </w:pPr>
    </w:p>
    <w:p>
      <w:pPr>
        <w:spacing w:after="100"/>
        <w:jc w:val="center"/>
      </w:pPr>
      <w:r>
        <w:rPr>
          <w:rFonts w:ascii="Arial" w:cs="Arial" w:eastAsia="Arial" w:hAnsi="Arial"/>
          <w:i/>
          <w:iCs/>
          <w:color w:val="888888"/>
          <w:sz w:val="20"/>
          <w:szCs w:val="20"/>
        </w:rPr>
        <w:t xml:space="preserve">— End of Methodology Document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Toronto PM2.5 Alert System — Complete Methodology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850" w:hanging="5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2026-02-06T18:05:48.157Z</dcterms:created>
  <dcterms:modified xsi:type="dcterms:W3CDTF">2026-02-06T18:05:48.158Z</dcterms:modified>
</cp:coreProperties>
</file>

<file path=docProps/custom.xml><?xml version="1.0" encoding="utf-8"?>
<Properties xmlns="http://schemas.openxmlformats.org/officeDocument/2006/custom-properties" xmlns:vt="http://schemas.openxmlformats.org/officeDocument/2006/docPropsVTypes"/>
</file>