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DB4234" w14:textId="77777777" w:rsidR="007B01BB" w:rsidRDefault="00000000">
      <w:pPr>
        <w:spacing w:before="1240"/>
        <w:jc w:val="center"/>
        <w:rPr>
          <w:lang w:eastAsia="zh-CN"/>
        </w:rPr>
      </w:pPr>
      <w:r>
        <w:rPr>
          <w:b/>
          <w:color w:val="17365D"/>
          <w:sz w:val="44"/>
          <w:lang w:eastAsia="zh-CN"/>
        </w:rPr>
        <w:t>基于纵向达标概率与CART的</w:t>
      </w:r>
    </w:p>
    <w:p w14:paraId="5A87948A" w14:textId="77777777" w:rsidR="007B01BB" w:rsidRDefault="00000000">
      <w:pPr>
        <w:spacing w:after="200"/>
        <w:jc w:val="center"/>
        <w:rPr>
          <w:lang w:eastAsia="zh-CN"/>
        </w:rPr>
      </w:pPr>
      <w:r>
        <w:rPr>
          <w:b/>
          <w:color w:val="17365D"/>
          <w:sz w:val="44"/>
          <w:lang w:eastAsia="zh-CN"/>
        </w:rPr>
        <w:t>BMI分组及最佳NIPT时点研究</w:t>
      </w:r>
    </w:p>
    <w:p w14:paraId="1E5A4F32" w14:textId="77777777" w:rsidR="007B01BB" w:rsidRDefault="00000000">
      <w:pPr>
        <w:spacing w:after="600"/>
        <w:jc w:val="center"/>
        <w:rPr>
          <w:lang w:eastAsia="zh-CN"/>
        </w:rPr>
      </w:pPr>
      <w:r>
        <w:rPr>
          <w:color w:val="66727E"/>
          <w:sz w:val="24"/>
          <w:lang w:eastAsia="zh-CN"/>
        </w:rPr>
        <w:t>—— 2025 CUMCM C题·问题二完整建模报告</w:t>
      </w:r>
    </w:p>
    <w:tbl>
      <w:tblPr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7B01BB" w14:paraId="2D41B0DA" w14:textId="77777777">
        <w:trPr>
          <w:jc w:val="center"/>
        </w:trPr>
        <w:tc>
          <w:tcPr>
            <w:tcW w:w="3120" w:type="dxa"/>
            <w:shd w:val="clear" w:color="auto" w:fill="D9EA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9CFB92" w14:textId="77777777" w:rsidR="007B01BB" w:rsidRDefault="00000000">
            <w:pPr>
              <w:jc w:val="center"/>
            </w:pPr>
            <w:proofErr w:type="spellStart"/>
            <w:r>
              <w:rPr>
                <w:b/>
                <w:color w:val="2E74B5"/>
                <w:sz w:val="19"/>
              </w:rPr>
              <w:t>有效孕妇</w:t>
            </w:r>
            <w:proofErr w:type="spellEnd"/>
            <w:r>
              <w:rPr>
                <w:b/>
                <w:color w:val="2E74B5"/>
                <w:sz w:val="19"/>
              </w:rPr>
              <w:br/>
            </w:r>
            <w:r>
              <w:rPr>
                <w:b/>
                <w:color w:val="17365D"/>
                <w:sz w:val="32"/>
              </w:rPr>
              <w:t>267人</w:t>
            </w:r>
          </w:p>
        </w:tc>
        <w:tc>
          <w:tcPr>
            <w:tcW w:w="3120" w:type="dxa"/>
            <w:shd w:val="clear" w:color="auto" w:fill="D9EA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6BD1AD" w14:textId="77777777" w:rsidR="007B01BB" w:rsidRDefault="00000000">
            <w:pPr>
              <w:jc w:val="center"/>
            </w:pPr>
            <w:r>
              <w:rPr>
                <w:b/>
                <w:color w:val="2E74B5"/>
                <w:sz w:val="19"/>
              </w:rPr>
              <w:t>独立采血记录</w:t>
            </w:r>
            <w:r>
              <w:rPr>
                <w:b/>
                <w:color w:val="2E74B5"/>
                <w:sz w:val="19"/>
              </w:rPr>
              <w:br/>
            </w:r>
            <w:r>
              <w:rPr>
                <w:b/>
                <w:color w:val="17365D"/>
                <w:sz w:val="32"/>
              </w:rPr>
              <w:t>1063次</w:t>
            </w:r>
          </w:p>
        </w:tc>
        <w:tc>
          <w:tcPr>
            <w:tcW w:w="3120" w:type="dxa"/>
            <w:shd w:val="clear" w:color="auto" w:fill="D9EA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57B82F" w14:textId="77777777" w:rsidR="007B01BB" w:rsidRDefault="00000000">
            <w:pPr>
              <w:jc w:val="center"/>
            </w:pPr>
            <w:r>
              <w:rPr>
                <w:b/>
                <w:color w:val="2E74B5"/>
                <w:sz w:val="19"/>
              </w:rPr>
              <w:t>最终BMI组数</w:t>
            </w:r>
            <w:r>
              <w:rPr>
                <w:b/>
                <w:color w:val="2E74B5"/>
                <w:sz w:val="19"/>
              </w:rPr>
              <w:br/>
            </w:r>
            <w:r>
              <w:rPr>
                <w:b/>
                <w:color w:val="17365D"/>
                <w:sz w:val="32"/>
              </w:rPr>
              <w:t>5组</w:t>
            </w:r>
          </w:p>
        </w:tc>
      </w:tr>
    </w:tbl>
    <w:p w14:paraId="52AF9DB3" w14:textId="77777777" w:rsidR="007B01BB" w:rsidRDefault="00000000">
      <w:pPr>
        <w:pStyle w:val="1"/>
      </w:pPr>
      <w:proofErr w:type="gramStart"/>
      <w:r>
        <w:t xml:space="preserve">1  </w:t>
      </w:r>
      <w:r>
        <w:t>问题重述与总体思路</w:t>
      </w:r>
      <w:proofErr w:type="gramEnd"/>
    </w:p>
    <w:p w14:paraId="3641C23B" w14:textId="77777777" w:rsidR="007B01BB" w:rsidRDefault="00000000">
      <w:pPr>
        <w:ind w:firstLine="420"/>
        <w:jc w:val="both"/>
        <w:rPr>
          <w:lang w:eastAsia="zh-CN"/>
        </w:rPr>
      </w:pPr>
      <w:r>
        <w:rPr>
          <w:color w:val="20252B"/>
          <w:lang w:eastAsia="zh-CN"/>
        </w:rPr>
        <w:t>男胎NIPT检测结果的可靠性主要取决于Y染色体浓度是否达到4%。题目要求根据孕妇BMI进行合理分组，并为各组确定能够兼顾检测可靠性和尽早发现风险的最佳NIPT时点，同时讨论检测误差对结论的影响。经验区间可作为参考，但不能替代数据驱动的分组。</w:t>
      </w:r>
    </w:p>
    <w:p w14:paraId="13C521FC" w14:textId="77777777" w:rsidR="007B01BB" w:rsidRDefault="00000000">
      <w:pPr>
        <w:ind w:firstLine="420"/>
        <w:jc w:val="both"/>
        <w:rPr>
          <w:lang w:eastAsia="zh-CN"/>
        </w:rPr>
      </w:pPr>
      <w:r>
        <w:rPr>
          <w:color w:val="20252B"/>
          <w:lang w:eastAsia="zh-CN"/>
        </w:rPr>
        <w:t>本文采用“概率建模—时点反演—树模型分组—误差检验”的四层框架。首先利用全部纵向检测记录估计给定BMI与孕周下的达标概率；其次在可靠性约束下反演最早可检测孕周；再次使用一维CART压缩为3～5个可解释BMI组；最后利用重复测序误差和Bootstrap检验分组稳定性。</w:t>
      </w:r>
    </w:p>
    <w:p w14:paraId="0CB57E24" w14:textId="77777777" w:rsidR="007B01BB" w:rsidRDefault="00000000">
      <w:pPr>
        <w:pStyle w:val="1"/>
        <w:rPr>
          <w:lang w:eastAsia="zh-CN"/>
        </w:rPr>
      </w:pPr>
      <w:r>
        <w:rPr>
          <w:lang w:eastAsia="zh-CN"/>
        </w:rPr>
        <w:t xml:space="preserve">2  </w:t>
      </w:r>
      <w:r>
        <w:rPr>
          <w:lang w:eastAsia="zh-CN"/>
        </w:rPr>
        <w:t>数据预处理与变量构造</w:t>
      </w:r>
    </w:p>
    <w:p w14:paraId="29B4EA65" w14:textId="77777777" w:rsidR="007B01BB" w:rsidRDefault="00000000">
      <w:pPr>
        <w:ind w:firstLine="420"/>
        <w:jc w:val="both"/>
        <w:rPr>
          <w:lang w:eastAsia="zh-CN"/>
        </w:rPr>
      </w:pPr>
      <w:r>
        <w:rPr>
          <w:color w:val="20252B"/>
          <w:lang w:eastAsia="zh-CN"/>
        </w:rPr>
        <w:t>原男胎工作表包含1082条检测记录和267名孕妇。每名孕妇平均约4次检测，存在多次采血及同次采血重复测序。为避免把技术重复误当作独立生物样本，本文以“孕妇代码+检测日期+抽血次数”为合并键，对Y染色体浓度取中位数，同时保留最小值、最大值、极差和跨阈值标记。共识别19组重复测序，合并后得到1063次独立采血记录。</w:t>
      </w:r>
    </w:p>
    <w:p w14:paraId="1C90EAD4" w14:textId="77777777" w:rsidR="007B01BB" w:rsidRDefault="00000000">
      <w:pPr>
        <w:ind w:firstLine="420"/>
        <w:jc w:val="both"/>
        <w:rPr>
          <w:lang w:eastAsia="zh-CN"/>
        </w:rPr>
      </w:pPr>
      <w:r>
        <w:rPr>
          <w:color w:val="20252B"/>
          <w:lang w:eastAsia="zh-CN"/>
        </w:rPr>
        <w:lastRenderedPageBreak/>
        <w:t xml:space="preserve">检测孕周统一转换为连续周数：若原记录为a </w:t>
      </w:r>
      <w:proofErr w:type="spellStart"/>
      <w:r>
        <w:rPr>
          <w:color w:val="20252B"/>
          <w:lang w:eastAsia="zh-CN"/>
        </w:rPr>
        <w:t>w+b</w:t>
      </w:r>
      <w:proofErr w:type="spellEnd"/>
      <w:r>
        <w:rPr>
          <w:color w:val="20252B"/>
          <w:lang w:eastAsia="zh-CN"/>
        </w:rPr>
        <w:t>，则W=</w:t>
      </w:r>
      <w:proofErr w:type="spellStart"/>
      <w:r>
        <w:rPr>
          <w:color w:val="20252B"/>
          <w:lang w:eastAsia="zh-CN"/>
        </w:rPr>
        <w:t>a+b</w:t>
      </w:r>
      <w:proofErr w:type="spellEnd"/>
      <w:r>
        <w:rPr>
          <w:color w:val="20252B"/>
          <w:lang w:eastAsia="zh-CN"/>
        </w:rPr>
        <w:t>/7。BMI经体重除以身高平方复核，误差均小于0.02。采用首次检测时BMI作为基线BMI，避免使用达标时BMI造成时间倒置。定义二元达标状态如下：</w:t>
      </w:r>
    </w:p>
    <w:p w14:paraId="7E8D7B16" w14:textId="77777777" w:rsidR="007B01BB" w:rsidRDefault="00000000">
      <w:pPr>
        <w:spacing w:before="60"/>
        <w:jc w:val="center"/>
        <w:rPr>
          <w:lang w:eastAsia="zh-CN"/>
        </w:rPr>
      </w:pPr>
      <w:r>
        <w:rPr>
          <w:rFonts w:ascii="Cambria Math" w:eastAsia="Cambria Math" w:hAnsi="Cambria Math" w:cs="Cambria Math"/>
          <w:color w:val="000000"/>
          <w:sz w:val="23"/>
          <w:lang w:eastAsia="zh-CN"/>
        </w:rPr>
        <w:t>Dᵢⱼ = I(Yᵢⱼ ≥ 0.04)    （1）</w:t>
      </w:r>
    </w:p>
    <w:p w14:paraId="14B8046A" w14:textId="77777777" w:rsidR="007B01BB" w:rsidRDefault="00000000">
      <w:pPr>
        <w:ind w:firstLine="420"/>
        <w:jc w:val="both"/>
        <w:rPr>
          <w:lang w:eastAsia="zh-CN"/>
        </w:rPr>
      </w:pPr>
      <w:r>
        <w:rPr>
          <w:color w:val="20252B"/>
          <w:lang w:eastAsia="zh-CN"/>
        </w:rPr>
        <w:t>其中Yᵢⱼ为第</w:t>
      </w:r>
      <w:proofErr w:type="spellStart"/>
      <w:r>
        <w:rPr>
          <w:color w:val="20252B"/>
          <w:lang w:eastAsia="zh-CN"/>
        </w:rPr>
        <w:t>i</w:t>
      </w:r>
      <w:proofErr w:type="spellEnd"/>
      <w:r>
        <w:rPr>
          <w:color w:val="20252B"/>
          <w:lang w:eastAsia="zh-CN"/>
        </w:rPr>
        <w:t>名孕妇第j次独立采血的Y染色体浓度。对于GC含量略低于40%的记录仅设置质量标记，不机械删除，以避免一次性剔除大量临界样本。</w:t>
      </w:r>
    </w:p>
    <w:p w14:paraId="728E0EED" w14:textId="77777777" w:rsidR="007B01BB" w:rsidRDefault="00000000">
      <w:pPr>
        <w:pStyle w:val="1"/>
        <w:rPr>
          <w:lang w:eastAsia="zh-CN"/>
        </w:rPr>
      </w:pPr>
      <w:r>
        <w:rPr>
          <w:lang w:eastAsia="zh-CN"/>
        </w:rPr>
        <w:t xml:space="preserve">3  </w:t>
      </w:r>
      <w:r>
        <w:rPr>
          <w:lang w:eastAsia="zh-CN"/>
        </w:rPr>
        <w:t>探索性分析与普通</w:t>
      </w:r>
      <w:r>
        <w:rPr>
          <w:lang w:eastAsia="zh-CN"/>
        </w:rPr>
        <w:t>T</w:t>
      </w:r>
      <w:r>
        <w:rPr>
          <w:lang w:eastAsia="zh-CN"/>
        </w:rPr>
        <w:t>回归的局限</w:t>
      </w:r>
    </w:p>
    <w:p w14:paraId="4EDF91AF" w14:textId="77777777" w:rsidR="007B01BB" w:rsidRDefault="00000000">
      <w:pPr>
        <w:ind w:firstLine="420"/>
        <w:jc w:val="both"/>
        <w:rPr>
          <w:lang w:eastAsia="zh-CN"/>
        </w:rPr>
      </w:pPr>
      <w:r>
        <w:rPr>
          <w:color w:val="20252B"/>
          <w:lang w:eastAsia="zh-CN"/>
        </w:rPr>
        <w:t>先按题意仅对event=1的260名孕妇绘制基线BMI与首次观测达标孕周T的散点图。Spearman秩相关系数为0.0878，双侧p值为0.158，表现为极弱且不显著的正相关。</w:t>
      </w:r>
    </w:p>
    <w:p w14:paraId="71E4BC84" w14:textId="77777777" w:rsidR="007B01BB" w:rsidRDefault="00000000">
      <w:pPr>
        <w:keepNext/>
        <w:spacing w:before="80" w:after="20"/>
        <w:jc w:val="center"/>
      </w:pPr>
      <w:r>
        <w:rPr>
          <w:noProof/>
        </w:rPr>
        <w:drawing>
          <wp:inline distT="0" distB="0" distL="0" distR="0" wp14:anchorId="6E882CBF" wp14:editId="79299824">
            <wp:extent cx="5715000" cy="38100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第二问_BMI与首次达标孕周_散点图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20FAE7" w14:textId="77777777" w:rsidR="007B01BB" w:rsidRDefault="00000000">
      <w:pPr>
        <w:spacing w:before="40" w:after="140"/>
        <w:jc w:val="center"/>
        <w:rPr>
          <w:lang w:eastAsia="zh-CN"/>
        </w:rPr>
      </w:pPr>
      <w:r>
        <w:rPr>
          <w:color w:val="66727E"/>
          <w:sz w:val="19"/>
          <w:lang w:eastAsia="zh-CN"/>
        </w:rPr>
        <w:t>图1  基线BMI与首次观测达标孕周的散点图</w:t>
      </w:r>
    </w:p>
    <w:p w14:paraId="5F465FC9" w14:textId="77777777" w:rsidR="007B01BB" w:rsidRDefault="00000000">
      <w:pPr>
        <w:ind w:firstLine="420"/>
        <w:jc w:val="both"/>
        <w:rPr>
          <w:lang w:eastAsia="zh-CN"/>
        </w:rPr>
      </w:pPr>
      <w:r>
        <w:rPr>
          <w:color w:val="20252B"/>
          <w:lang w:eastAsia="zh-CN"/>
        </w:rPr>
        <w:t>弱相关并不等价于BMI没有作用。267名孕妇中，217人在第一次检测时已达标，只能确定真实达标时间早于首次检测；43人的真实达标时间位于相邻两次检测之间；7人最后仍未达标。由此可见，T同时包含左删失、区间删失和右删失，且还受临床采样计划影响。若直接对T做普通回归或CART，会把“什么时候检测”误当成“什么时候生理达标”。因此主模型改用全部检测记录的达标概率。</w:t>
      </w:r>
    </w:p>
    <w:p w14:paraId="29D58334" w14:textId="77777777" w:rsidR="007B01BB" w:rsidRDefault="00000000">
      <w:pPr>
        <w:pStyle w:val="1"/>
        <w:rPr>
          <w:lang w:eastAsia="zh-CN"/>
        </w:rPr>
      </w:pPr>
      <w:r>
        <w:rPr>
          <w:lang w:eastAsia="zh-CN"/>
        </w:rPr>
        <w:lastRenderedPageBreak/>
        <w:t xml:space="preserve">4  </w:t>
      </w:r>
      <w:r>
        <w:rPr>
          <w:lang w:eastAsia="zh-CN"/>
        </w:rPr>
        <w:t>纵向达标概率模型</w:t>
      </w:r>
    </w:p>
    <w:p w14:paraId="7F172BEB" w14:textId="77777777" w:rsidR="007B01BB" w:rsidRDefault="00000000">
      <w:pPr>
        <w:pStyle w:val="21"/>
        <w:rPr>
          <w:lang w:eastAsia="zh-CN"/>
        </w:rPr>
      </w:pPr>
      <w:r>
        <w:rPr>
          <w:lang w:eastAsia="zh-CN"/>
        </w:rPr>
        <w:t xml:space="preserve">4.1 </w:t>
      </w:r>
      <w:r>
        <w:rPr>
          <w:lang w:eastAsia="zh-CN"/>
        </w:rPr>
        <w:t>模型设定</w:t>
      </w:r>
    </w:p>
    <w:p w14:paraId="36FCC1E5" w14:textId="77777777" w:rsidR="007B01BB" w:rsidRDefault="00000000">
      <w:pPr>
        <w:ind w:firstLine="420"/>
        <w:jc w:val="both"/>
        <w:rPr>
          <w:lang w:eastAsia="zh-CN"/>
        </w:rPr>
      </w:pPr>
      <w:r>
        <w:rPr>
          <w:color w:val="20252B"/>
          <w:lang w:eastAsia="zh-CN"/>
        </w:rPr>
        <w:t>设pᵢⱼ=P(Dᵢⱼ=1|Wᵢⱼ,BMIᵢ)。候选模型包括线性Logistic、二次交互Logistic、样条Logistic和梯度提升树。为防止检测次数较多的孕妇支配估计，每名孕妇的全部观测总权重设为1，即单条记录权重为其检测次数的倒数。</w:t>
      </w:r>
    </w:p>
    <w:p w14:paraId="19A73AD9" w14:textId="77777777" w:rsidR="007B01BB" w:rsidRDefault="00000000">
      <w:pPr>
        <w:spacing w:before="60"/>
        <w:jc w:val="center"/>
      </w:pPr>
      <w:r>
        <w:rPr>
          <w:rFonts w:ascii="Cambria Math" w:eastAsia="Cambria Math" w:hAnsi="Cambria Math" w:cs="Cambria Math"/>
          <w:color w:val="000000"/>
          <w:sz w:val="23"/>
        </w:rPr>
        <w:t>logit(pᵢⱼ) = β₀ + β₁Wᵢⱼ + β₂BMIᵢ    （2）</w:t>
      </w:r>
    </w:p>
    <w:p w14:paraId="3F894357" w14:textId="77777777" w:rsidR="007B01BB" w:rsidRDefault="00000000">
      <w:pPr>
        <w:ind w:firstLine="420"/>
        <w:jc w:val="both"/>
        <w:rPr>
          <w:lang w:eastAsia="zh-CN"/>
        </w:rPr>
      </w:pPr>
      <w:r>
        <w:rPr>
          <w:color w:val="20252B"/>
          <w:lang w:eastAsia="zh-CN"/>
        </w:rPr>
        <w:t>交叉验证以孕妇代码为分组单位：同一孕妇的所有记录始终位于同一折。模型选择以</w:t>
      </w:r>
      <w:proofErr w:type="spellStart"/>
      <w:r>
        <w:rPr>
          <w:color w:val="20252B"/>
          <w:lang w:eastAsia="zh-CN"/>
        </w:rPr>
        <w:t>LogLoss</w:t>
      </w:r>
      <w:proofErr w:type="spellEnd"/>
      <w:r>
        <w:rPr>
          <w:color w:val="20252B"/>
          <w:lang w:eastAsia="zh-CN"/>
        </w:rPr>
        <w:t>为主、Brier得分和AUC为辅；当多个模型的</w:t>
      </w:r>
      <w:proofErr w:type="spellStart"/>
      <w:r>
        <w:rPr>
          <w:color w:val="20252B"/>
          <w:lang w:eastAsia="zh-CN"/>
        </w:rPr>
        <w:t>LogLoss</w:t>
      </w:r>
      <w:proofErr w:type="spellEnd"/>
      <w:r>
        <w:rPr>
          <w:color w:val="20252B"/>
          <w:lang w:eastAsia="zh-CN"/>
        </w:rPr>
        <w:t>位于绝对最优模型的一标准误差范围内时，优先选择结构更简单的模型。</w:t>
      </w:r>
    </w:p>
    <w:p w14:paraId="0FE93667" w14:textId="77777777" w:rsidR="007B01BB" w:rsidRDefault="00000000">
      <w:pPr>
        <w:pStyle w:val="21"/>
      </w:pPr>
      <w:r>
        <w:t xml:space="preserve">4.2 </w:t>
      </w:r>
      <w:proofErr w:type="spellStart"/>
      <w:r>
        <w:t>交叉验证与最终模型</w:t>
      </w:r>
      <w:proofErr w:type="spellEnd"/>
    </w:p>
    <w:tbl>
      <w:tblPr>
        <w:tblStyle w:val="aff1"/>
        <w:tblW w:w="9300" w:type="dxa"/>
        <w:jc w:val="center"/>
        <w:tblLayout w:type="fixed"/>
        <w:tblLook w:val="04A0" w:firstRow="1" w:lastRow="0" w:firstColumn="1" w:lastColumn="0" w:noHBand="0" w:noVBand="1"/>
      </w:tblPr>
      <w:tblGrid>
        <w:gridCol w:w="2600"/>
        <w:gridCol w:w="1700"/>
        <w:gridCol w:w="1600"/>
        <w:gridCol w:w="1700"/>
        <w:gridCol w:w="1700"/>
      </w:tblGrid>
      <w:tr w:rsidR="007B01BB" w14:paraId="1728534B" w14:textId="77777777">
        <w:trPr>
          <w:tblHeader/>
          <w:jc w:val="center"/>
        </w:trPr>
        <w:tc>
          <w:tcPr>
            <w:tcW w:w="2600" w:type="dxa"/>
            <w:shd w:val="clear" w:color="auto" w:fill="D9EA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D8C013" w14:textId="77777777" w:rsidR="007B01BB" w:rsidRDefault="00000000">
            <w:pPr>
              <w:spacing w:after="0"/>
              <w:jc w:val="center"/>
            </w:pPr>
            <w:r>
              <w:rPr>
                <w:b/>
                <w:color w:val="17365D"/>
                <w:sz w:val="17"/>
              </w:rPr>
              <w:t>模型</w:t>
            </w:r>
          </w:p>
        </w:tc>
        <w:tc>
          <w:tcPr>
            <w:tcW w:w="1700" w:type="dxa"/>
            <w:shd w:val="clear" w:color="auto" w:fill="D9EA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4D444A" w14:textId="77777777" w:rsidR="007B01BB" w:rsidRDefault="00000000">
            <w:pPr>
              <w:spacing w:after="0"/>
              <w:jc w:val="center"/>
            </w:pPr>
            <w:r>
              <w:rPr>
                <w:b/>
                <w:color w:val="17365D"/>
                <w:sz w:val="17"/>
              </w:rPr>
              <w:t>LogLoss</w:t>
            </w:r>
          </w:p>
        </w:tc>
        <w:tc>
          <w:tcPr>
            <w:tcW w:w="1600" w:type="dxa"/>
            <w:shd w:val="clear" w:color="auto" w:fill="D9EA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4184E1" w14:textId="77777777" w:rsidR="007B01BB" w:rsidRDefault="00000000">
            <w:pPr>
              <w:spacing w:after="0"/>
              <w:jc w:val="center"/>
            </w:pPr>
            <w:r>
              <w:rPr>
                <w:b/>
                <w:color w:val="17365D"/>
                <w:sz w:val="17"/>
              </w:rPr>
              <w:t>标准误</w:t>
            </w:r>
          </w:p>
        </w:tc>
        <w:tc>
          <w:tcPr>
            <w:tcW w:w="1700" w:type="dxa"/>
            <w:shd w:val="clear" w:color="auto" w:fill="D9EA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938158" w14:textId="77777777" w:rsidR="007B01BB" w:rsidRDefault="00000000">
            <w:pPr>
              <w:spacing w:after="0"/>
              <w:jc w:val="center"/>
            </w:pPr>
            <w:r>
              <w:rPr>
                <w:b/>
                <w:color w:val="17365D"/>
                <w:sz w:val="17"/>
              </w:rPr>
              <w:t>Brier</w:t>
            </w:r>
          </w:p>
        </w:tc>
        <w:tc>
          <w:tcPr>
            <w:tcW w:w="1700" w:type="dxa"/>
            <w:shd w:val="clear" w:color="auto" w:fill="D9EA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D5E7BF" w14:textId="77777777" w:rsidR="007B01BB" w:rsidRDefault="00000000">
            <w:pPr>
              <w:spacing w:after="0"/>
              <w:jc w:val="center"/>
            </w:pPr>
            <w:r>
              <w:rPr>
                <w:b/>
                <w:color w:val="17365D"/>
                <w:sz w:val="17"/>
              </w:rPr>
              <w:t>AUC</w:t>
            </w:r>
          </w:p>
        </w:tc>
      </w:tr>
      <w:tr w:rsidR="007B01BB" w14:paraId="4A199847" w14:textId="77777777">
        <w:trPr>
          <w:jc w:val="center"/>
        </w:trPr>
        <w:tc>
          <w:tcPr>
            <w:tcW w:w="2600" w:type="dxa"/>
            <w:vAlign w:val="center"/>
          </w:tcPr>
          <w:p w14:paraId="011033F9" w14:textId="77777777" w:rsidR="007B01BB" w:rsidRDefault="00000000">
            <w:pPr>
              <w:spacing w:after="0"/>
              <w:jc w:val="center"/>
            </w:pPr>
            <w:r>
              <w:rPr>
                <w:color w:val="20252B"/>
                <w:sz w:val="17"/>
              </w:rPr>
              <w:t>二次交互Logistic</w:t>
            </w:r>
          </w:p>
        </w:tc>
        <w:tc>
          <w:tcPr>
            <w:tcW w:w="1700" w:type="dxa"/>
            <w:vAlign w:val="center"/>
          </w:tcPr>
          <w:p w14:paraId="65A6951F" w14:textId="77777777" w:rsidR="007B01BB" w:rsidRDefault="00000000">
            <w:pPr>
              <w:spacing w:after="0"/>
              <w:jc w:val="center"/>
            </w:pPr>
            <w:r>
              <w:rPr>
                <w:color w:val="20252B"/>
                <w:sz w:val="17"/>
              </w:rPr>
              <w:t>0.3853</w:t>
            </w:r>
          </w:p>
        </w:tc>
        <w:tc>
          <w:tcPr>
            <w:tcW w:w="1600" w:type="dxa"/>
            <w:vAlign w:val="center"/>
          </w:tcPr>
          <w:p w14:paraId="42B3B2E9" w14:textId="77777777" w:rsidR="007B01BB" w:rsidRDefault="00000000">
            <w:pPr>
              <w:spacing w:after="0"/>
              <w:jc w:val="center"/>
            </w:pPr>
            <w:r>
              <w:rPr>
                <w:color w:val="20252B"/>
                <w:sz w:val="17"/>
              </w:rPr>
              <w:t>0.0273</w:t>
            </w:r>
          </w:p>
        </w:tc>
        <w:tc>
          <w:tcPr>
            <w:tcW w:w="1700" w:type="dxa"/>
            <w:vAlign w:val="center"/>
          </w:tcPr>
          <w:p w14:paraId="02E36220" w14:textId="77777777" w:rsidR="007B01BB" w:rsidRDefault="00000000">
            <w:pPr>
              <w:spacing w:after="0"/>
              <w:jc w:val="center"/>
            </w:pPr>
            <w:r>
              <w:rPr>
                <w:color w:val="20252B"/>
                <w:sz w:val="17"/>
              </w:rPr>
              <w:t>0.1127</w:t>
            </w:r>
          </w:p>
        </w:tc>
        <w:tc>
          <w:tcPr>
            <w:tcW w:w="1700" w:type="dxa"/>
            <w:vAlign w:val="center"/>
          </w:tcPr>
          <w:p w14:paraId="6838120E" w14:textId="77777777" w:rsidR="007B01BB" w:rsidRDefault="00000000">
            <w:pPr>
              <w:spacing w:after="0"/>
            </w:pPr>
            <w:r>
              <w:rPr>
                <w:color w:val="20252B"/>
                <w:sz w:val="17"/>
              </w:rPr>
              <w:t>0.5798</w:t>
            </w:r>
          </w:p>
        </w:tc>
      </w:tr>
      <w:tr w:rsidR="007B01BB" w14:paraId="302A000C" w14:textId="77777777">
        <w:trPr>
          <w:jc w:val="center"/>
        </w:trPr>
        <w:tc>
          <w:tcPr>
            <w:tcW w:w="2600" w:type="dxa"/>
            <w:vAlign w:val="center"/>
          </w:tcPr>
          <w:p w14:paraId="52F3A991" w14:textId="77777777" w:rsidR="007B01BB" w:rsidRDefault="00000000">
            <w:pPr>
              <w:spacing w:after="0"/>
              <w:jc w:val="center"/>
            </w:pPr>
            <w:r>
              <w:rPr>
                <w:color w:val="20252B"/>
                <w:sz w:val="17"/>
              </w:rPr>
              <w:t>线性Logistic</w:t>
            </w:r>
          </w:p>
        </w:tc>
        <w:tc>
          <w:tcPr>
            <w:tcW w:w="1700" w:type="dxa"/>
            <w:vAlign w:val="center"/>
          </w:tcPr>
          <w:p w14:paraId="68BD0E58" w14:textId="77777777" w:rsidR="007B01BB" w:rsidRDefault="00000000">
            <w:pPr>
              <w:spacing w:after="0"/>
              <w:jc w:val="center"/>
            </w:pPr>
            <w:r>
              <w:rPr>
                <w:color w:val="20252B"/>
                <w:sz w:val="17"/>
              </w:rPr>
              <w:t>0.3866</w:t>
            </w:r>
          </w:p>
        </w:tc>
        <w:tc>
          <w:tcPr>
            <w:tcW w:w="1600" w:type="dxa"/>
            <w:vAlign w:val="center"/>
          </w:tcPr>
          <w:p w14:paraId="37DC2AAC" w14:textId="77777777" w:rsidR="007B01BB" w:rsidRDefault="00000000">
            <w:pPr>
              <w:spacing w:after="0"/>
              <w:jc w:val="center"/>
            </w:pPr>
            <w:r>
              <w:rPr>
                <w:color w:val="20252B"/>
                <w:sz w:val="17"/>
              </w:rPr>
              <w:t>0.0273</w:t>
            </w:r>
          </w:p>
        </w:tc>
        <w:tc>
          <w:tcPr>
            <w:tcW w:w="1700" w:type="dxa"/>
            <w:vAlign w:val="center"/>
          </w:tcPr>
          <w:p w14:paraId="145DE71F" w14:textId="77777777" w:rsidR="007B01BB" w:rsidRDefault="00000000">
            <w:pPr>
              <w:spacing w:after="0"/>
              <w:jc w:val="center"/>
            </w:pPr>
            <w:r>
              <w:rPr>
                <w:color w:val="20252B"/>
                <w:sz w:val="17"/>
              </w:rPr>
              <w:t>0.1130</w:t>
            </w:r>
          </w:p>
        </w:tc>
        <w:tc>
          <w:tcPr>
            <w:tcW w:w="1700" w:type="dxa"/>
            <w:vAlign w:val="center"/>
          </w:tcPr>
          <w:p w14:paraId="7178538B" w14:textId="77777777" w:rsidR="007B01BB" w:rsidRDefault="00000000">
            <w:pPr>
              <w:spacing w:after="0"/>
            </w:pPr>
            <w:r>
              <w:rPr>
                <w:color w:val="20252B"/>
                <w:sz w:val="17"/>
              </w:rPr>
              <w:t>0.5804</w:t>
            </w:r>
          </w:p>
        </w:tc>
      </w:tr>
      <w:tr w:rsidR="007B01BB" w14:paraId="7DCD427A" w14:textId="77777777">
        <w:trPr>
          <w:jc w:val="center"/>
        </w:trPr>
        <w:tc>
          <w:tcPr>
            <w:tcW w:w="2600" w:type="dxa"/>
            <w:vAlign w:val="center"/>
          </w:tcPr>
          <w:p w14:paraId="56508C46" w14:textId="77777777" w:rsidR="007B01BB" w:rsidRDefault="00000000">
            <w:pPr>
              <w:spacing w:after="0"/>
              <w:jc w:val="center"/>
            </w:pPr>
            <w:r>
              <w:rPr>
                <w:color w:val="20252B"/>
                <w:sz w:val="17"/>
              </w:rPr>
              <w:t>基准常数模型</w:t>
            </w:r>
          </w:p>
        </w:tc>
        <w:tc>
          <w:tcPr>
            <w:tcW w:w="1700" w:type="dxa"/>
            <w:vAlign w:val="center"/>
          </w:tcPr>
          <w:p w14:paraId="6B2230F2" w14:textId="77777777" w:rsidR="007B01BB" w:rsidRDefault="00000000">
            <w:pPr>
              <w:spacing w:after="0"/>
              <w:jc w:val="center"/>
            </w:pPr>
            <w:r>
              <w:rPr>
                <w:color w:val="20252B"/>
                <w:sz w:val="17"/>
              </w:rPr>
              <w:t>0.3912</w:t>
            </w:r>
          </w:p>
        </w:tc>
        <w:tc>
          <w:tcPr>
            <w:tcW w:w="1600" w:type="dxa"/>
            <w:vAlign w:val="center"/>
          </w:tcPr>
          <w:p w14:paraId="19BC93C0" w14:textId="77777777" w:rsidR="007B01BB" w:rsidRDefault="00000000">
            <w:pPr>
              <w:spacing w:after="0"/>
              <w:jc w:val="center"/>
            </w:pPr>
            <w:r>
              <w:rPr>
                <w:color w:val="20252B"/>
                <w:sz w:val="17"/>
              </w:rPr>
              <w:t>0.0242</w:t>
            </w:r>
          </w:p>
        </w:tc>
        <w:tc>
          <w:tcPr>
            <w:tcW w:w="1700" w:type="dxa"/>
            <w:vAlign w:val="center"/>
          </w:tcPr>
          <w:p w14:paraId="727CEC83" w14:textId="77777777" w:rsidR="007B01BB" w:rsidRDefault="00000000">
            <w:pPr>
              <w:spacing w:after="0"/>
              <w:jc w:val="center"/>
            </w:pPr>
            <w:r>
              <w:rPr>
                <w:color w:val="20252B"/>
                <w:sz w:val="17"/>
              </w:rPr>
              <w:t>0.1147</w:t>
            </w:r>
          </w:p>
        </w:tc>
        <w:tc>
          <w:tcPr>
            <w:tcW w:w="1700" w:type="dxa"/>
            <w:vAlign w:val="center"/>
          </w:tcPr>
          <w:p w14:paraId="3D8A4D88" w14:textId="77777777" w:rsidR="007B01BB" w:rsidRDefault="00000000">
            <w:pPr>
              <w:spacing w:after="0"/>
            </w:pPr>
            <w:r>
              <w:rPr>
                <w:color w:val="20252B"/>
                <w:sz w:val="17"/>
              </w:rPr>
              <w:t>0.5000</w:t>
            </w:r>
          </w:p>
        </w:tc>
      </w:tr>
      <w:tr w:rsidR="007B01BB" w14:paraId="6171EFBE" w14:textId="77777777">
        <w:trPr>
          <w:jc w:val="center"/>
        </w:trPr>
        <w:tc>
          <w:tcPr>
            <w:tcW w:w="2600" w:type="dxa"/>
            <w:vAlign w:val="center"/>
          </w:tcPr>
          <w:p w14:paraId="467C4DFD" w14:textId="77777777" w:rsidR="007B01BB" w:rsidRDefault="00000000">
            <w:pPr>
              <w:spacing w:after="0"/>
              <w:jc w:val="center"/>
            </w:pPr>
            <w:r>
              <w:rPr>
                <w:color w:val="20252B"/>
                <w:sz w:val="17"/>
              </w:rPr>
              <w:t>样条Logistic</w:t>
            </w:r>
          </w:p>
        </w:tc>
        <w:tc>
          <w:tcPr>
            <w:tcW w:w="1700" w:type="dxa"/>
            <w:vAlign w:val="center"/>
          </w:tcPr>
          <w:p w14:paraId="29C8AC91" w14:textId="77777777" w:rsidR="007B01BB" w:rsidRDefault="00000000">
            <w:pPr>
              <w:spacing w:after="0"/>
              <w:jc w:val="center"/>
            </w:pPr>
            <w:r>
              <w:rPr>
                <w:color w:val="20252B"/>
                <w:sz w:val="17"/>
              </w:rPr>
              <w:t>0.3920</w:t>
            </w:r>
          </w:p>
        </w:tc>
        <w:tc>
          <w:tcPr>
            <w:tcW w:w="1600" w:type="dxa"/>
            <w:vAlign w:val="center"/>
          </w:tcPr>
          <w:p w14:paraId="1290FF5C" w14:textId="77777777" w:rsidR="007B01BB" w:rsidRDefault="00000000">
            <w:pPr>
              <w:spacing w:after="0"/>
              <w:jc w:val="center"/>
            </w:pPr>
            <w:r>
              <w:rPr>
                <w:color w:val="20252B"/>
                <w:sz w:val="17"/>
              </w:rPr>
              <w:t>0.0320</w:t>
            </w:r>
          </w:p>
        </w:tc>
        <w:tc>
          <w:tcPr>
            <w:tcW w:w="1700" w:type="dxa"/>
            <w:vAlign w:val="center"/>
          </w:tcPr>
          <w:p w14:paraId="5FA1273D" w14:textId="77777777" w:rsidR="007B01BB" w:rsidRDefault="00000000">
            <w:pPr>
              <w:spacing w:after="0"/>
              <w:jc w:val="center"/>
            </w:pPr>
            <w:r>
              <w:rPr>
                <w:color w:val="20252B"/>
                <w:sz w:val="17"/>
              </w:rPr>
              <w:t>0.1144</w:t>
            </w:r>
          </w:p>
        </w:tc>
        <w:tc>
          <w:tcPr>
            <w:tcW w:w="1700" w:type="dxa"/>
            <w:vAlign w:val="center"/>
          </w:tcPr>
          <w:p w14:paraId="446B3F8D" w14:textId="77777777" w:rsidR="007B01BB" w:rsidRDefault="00000000">
            <w:pPr>
              <w:spacing w:after="0"/>
            </w:pPr>
            <w:r>
              <w:rPr>
                <w:color w:val="20252B"/>
                <w:sz w:val="17"/>
              </w:rPr>
              <w:t>0.5705</w:t>
            </w:r>
          </w:p>
        </w:tc>
      </w:tr>
      <w:tr w:rsidR="007B01BB" w14:paraId="4D1C2C76" w14:textId="77777777">
        <w:trPr>
          <w:jc w:val="center"/>
        </w:trPr>
        <w:tc>
          <w:tcPr>
            <w:tcW w:w="2600" w:type="dxa"/>
            <w:vAlign w:val="center"/>
          </w:tcPr>
          <w:p w14:paraId="6B073EF6" w14:textId="77777777" w:rsidR="007B01BB" w:rsidRDefault="00000000">
            <w:pPr>
              <w:spacing w:after="0"/>
              <w:jc w:val="center"/>
            </w:pPr>
            <w:r>
              <w:rPr>
                <w:color w:val="20252B"/>
                <w:sz w:val="17"/>
              </w:rPr>
              <w:t>梯度提升树</w:t>
            </w:r>
          </w:p>
        </w:tc>
        <w:tc>
          <w:tcPr>
            <w:tcW w:w="1700" w:type="dxa"/>
            <w:vAlign w:val="center"/>
          </w:tcPr>
          <w:p w14:paraId="100755A3" w14:textId="77777777" w:rsidR="007B01BB" w:rsidRDefault="00000000">
            <w:pPr>
              <w:spacing w:after="0"/>
              <w:jc w:val="center"/>
            </w:pPr>
            <w:r>
              <w:rPr>
                <w:color w:val="20252B"/>
                <w:sz w:val="17"/>
              </w:rPr>
              <w:t>0.3992</w:t>
            </w:r>
          </w:p>
        </w:tc>
        <w:tc>
          <w:tcPr>
            <w:tcW w:w="1600" w:type="dxa"/>
            <w:vAlign w:val="center"/>
          </w:tcPr>
          <w:p w14:paraId="046D01D8" w14:textId="77777777" w:rsidR="007B01BB" w:rsidRDefault="00000000">
            <w:pPr>
              <w:spacing w:after="0"/>
              <w:jc w:val="center"/>
            </w:pPr>
            <w:r>
              <w:rPr>
                <w:color w:val="20252B"/>
                <w:sz w:val="17"/>
              </w:rPr>
              <w:t>0.0349</w:t>
            </w:r>
          </w:p>
        </w:tc>
        <w:tc>
          <w:tcPr>
            <w:tcW w:w="1700" w:type="dxa"/>
            <w:vAlign w:val="center"/>
          </w:tcPr>
          <w:p w14:paraId="64EC74B6" w14:textId="77777777" w:rsidR="007B01BB" w:rsidRDefault="00000000">
            <w:pPr>
              <w:spacing w:after="0"/>
              <w:jc w:val="center"/>
            </w:pPr>
            <w:r>
              <w:rPr>
                <w:color w:val="20252B"/>
                <w:sz w:val="17"/>
              </w:rPr>
              <w:t>0.1156</w:t>
            </w:r>
          </w:p>
        </w:tc>
        <w:tc>
          <w:tcPr>
            <w:tcW w:w="1700" w:type="dxa"/>
            <w:vAlign w:val="center"/>
          </w:tcPr>
          <w:p w14:paraId="5E4661A0" w14:textId="77777777" w:rsidR="007B01BB" w:rsidRDefault="00000000">
            <w:pPr>
              <w:spacing w:after="0"/>
            </w:pPr>
            <w:r>
              <w:rPr>
                <w:color w:val="20252B"/>
                <w:sz w:val="17"/>
              </w:rPr>
              <w:t>0.6061</w:t>
            </w:r>
          </w:p>
        </w:tc>
      </w:tr>
    </w:tbl>
    <w:p w14:paraId="4CE295F0" w14:textId="77777777" w:rsidR="007B01BB" w:rsidRDefault="007B01BB">
      <w:pPr>
        <w:spacing w:after="20"/>
      </w:pPr>
    </w:p>
    <w:p w14:paraId="2B9F07AF" w14:textId="77777777" w:rsidR="007B01BB" w:rsidRDefault="00000000">
      <w:pPr>
        <w:spacing w:before="40" w:after="140"/>
        <w:jc w:val="center"/>
        <w:rPr>
          <w:lang w:eastAsia="zh-CN"/>
        </w:rPr>
      </w:pPr>
      <w:r>
        <w:rPr>
          <w:color w:val="66727E"/>
          <w:sz w:val="19"/>
          <w:lang w:eastAsia="zh-CN"/>
        </w:rPr>
        <w:t>表1  候选模型的按孕妇分组五折交叉验证结果</w:t>
      </w:r>
    </w:p>
    <w:p w14:paraId="0EF682D8" w14:textId="77777777" w:rsidR="007B01BB" w:rsidRDefault="00000000">
      <w:pPr>
        <w:keepNext/>
        <w:spacing w:before="80" w:after="20"/>
        <w:jc w:val="center"/>
      </w:pPr>
      <w:r>
        <w:rPr>
          <w:noProof/>
        </w:rPr>
        <w:lastRenderedPageBreak/>
        <w:drawing>
          <wp:inline distT="0" distB="0" distL="0" distR="0" wp14:anchorId="4BBE878D" wp14:editId="67630A68">
            <wp:extent cx="5715000" cy="3005621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第二问_候选模型交叉验证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0056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0649C6" w14:textId="77777777" w:rsidR="007B01BB" w:rsidRDefault="00000000">
      <w:pPr>
        <w:spacing w:before="40" w:after="140"/>
        <w:jc w:val="center"/>
        <w:rPr>
          <w:lang w:eastAsia="zh-CN"/>
        </w:rPr>
      </w:pPr>
      <w:r>
        <w:rPr>
          <w:color w:val="66727E"/>
          <w:sz w:val="19"/>
          <w:lang w:eastAsia="zh-CN"/>
        </w:rPr>
        <w:t>图2  候选达标概率模型的交叉验证比较</w:t>
      </w:r>
    </w:p>
    <w:p w14:paraId="6648F856" w14:textId="77777777" w:rsidR="007B01BB" w:rsidRDefault="00000000">
      <w:pPr>
        <w:ind w:firstLine="420"/>
        <w:jc w:val="both"/>
        <w:rPr>
          <w:lang w:eastAsia="zh-CN"/>
        </w:rPr>
      </w:pPr>
      <w:r>
        <w:rPr>
          <w:color w:val="20252B"/>
          <w:lang w:eastAsia="zh-CN"/>
        </w:rPr>
        <w:t>二次交互Logistic取得最低</w:t>
      </w:r>
      <w:proofErr w:type="spellStart"/>
      <w:r>
        <w:rPr>
          <w:color w:val="20252B"/>
          <w:lang w:eastAsia="zh-CN"/>
        </w:rPr>
        <w:t>LogLoss</w:t>
      </w:r>
      <w:proofErr w:type="spellEnd"/>
      <w:r>
        <w:rPr>
          <w:color w:val="20252B"/>
          <w:lang w:eastAsia="zh-CN"/>
        </w:rPr>
        <w:t>，但与线性Logistic的差值仅0.0013，远小于交叉验证标准误0.0273。依据一标准误差规则，选择更简单的线性Logistic作为最终模型。换算回原始量纲后得到：</w:t>
      </w:r>
    </w:p>
    <w:p w14:paraId="186BD90E" w14:textId="77777777" w:rsidR="007B01BB" w:rsidRDefault="00000000">
      <w:pPr>
        <w:spacing w:before="60"/>
        <w:jc w:val="center"/>
      </w:pPr>
      <w:r>
        <w:rPr>
          <w:rFonts w:ascii="Cambria Math" w:eastAsia="Cambria Math" w:hAnsi="Cambria Math" w:cs="Cambria Math"/>
          <w:color w:val="000000"/>
          <w:sz w:val="23"/>
        </w:rPr>
        <w:t>logit(p) = 5.3712 + 0.0412W − 0.1285BMI    （3）</w:t>
      </w:r>
    </w:p>
    <w:p w14:paraId="7C72B171" w14:textId="77777777" w:rsidR="007B01BB" w:rsidRDefault="00000000">
      <w:pPr>
        <w:ind w:firstLine="420"/>
        <w:jc w:val="both"/>
        <w:rPr>
          <w:lang w:eastAsia="zh-CN"/>
        </w:rPr>
      </w:pPr>
      <w:r>
        <w:rPr>
          <w:color w:val="20252B"/>
          <w:lang w:eastAsia="zh-CN"/>
        </w:rPr>
        <w:t>孕周系数为正、BMI系数为负，方向符合临床认知：孕周增加有利于达标，BMI升高会降低同一孕周的达标概率。但AUC仅为0.5804，说明仅依靠BMI和孕周进行个体区分的能力有限，故本文将该模型用于群体时点决策，不将其解释为高精度个体诊断器。</w:t>
      </w:r>
    </w:p>
    <w:p w14:paraId="570E4791" w14:textId="77777777" w:rsidR="007B01BB" w:rsidRDefault="00000000">
      <w:pPr>
        <w:pStyle w:val="1"/>
        <w:rPr>
          <w:lang w:eastAsia="zh-CN"/>
        </w:rPr>
      </w:pPr>
      <w:r>
        <w:rPr>
          <w:lang w:eastAsia="zh-CN"/>
        </w:rPr>
        <w:t xml:space="preserve">5  </w:t>
      </w:r>
      <w:r>
        <w:rPr>
          <w:lang w:eastAsia="zh-CN"/>
        </w:rPr>
        <w:t>可靠性约束下的最早检测时点</w:t>
      </w:r>
    </w:p>
    <w:p w14:paraId="59DC67C1" w14:textId="77777777" w:rsidR="007B01BB" w:rsidRDefault="00000000">
      <w:pPr>
        <w:ind w:firstLine="420"/>
        <w:jc w:val="both"/>
        <w:rPr>
          <w:lang w:eastAsia="zh-CN"/>
        </w:rPr>
      </w:pPr>
      <w:r>
        <w:rPr>
          <w:color w:val="20252B"/>
          <w:lang w:eastAsia="zh-CN"/>
        </w:rPr>
        <w:t>为兼顾检测准确性和尽早发现风险，本文采用词典序约束决策：先满足预设可靠性，再在可行时点中选择最早孕周。对模型概率随孕周曲线取累积最大值，使其满足达标概率不随孕周下降的临床单调性。定义：</w:t>
      </w:r>
    </w:p>
    <w:p w14:paraId="77854E65" w14:textId="77777777" w:rsidR="007B01BB" w:rsidRDefault="00000000">
      <w:pPr>
        <w:spacing w:before="60"/>
        <w:jc w:val="center"/>
        <w:rPr>
          <w:lang w:eastAsia="zh-CN"/>
        </w:rPr>
      </w:pPr>
      <w:r>
        <w:rPr>
          <w:rFonts w:ascii="Cambria Math" w:eastAsia="Cambria Math" w:hAnsi="Cambria Math" w:cs="Cambria Math"/>
          <w:color w:val="000000"/>
          <w:sz w:val="23"/>
          <w:lang w:eastAsia="zh-CN"/>
        </w:rPr>
        <w:t xml:space="preserve">t₀.₉₀(BMI) = min{w : P(Y ≥ 0.04 | </w:t>
      </w:r>
      <w:proofErr w:type="spellStart"/>
      <w:r>
        <w:rPr>
          <w:rFonts w:ascii="Cambria Math" w:eastAsia="Cambria Math" w:hAnsi="Cambria Math" w:cs="Cambria Math"/>
          <w:color w:val="000000"/>
          <w:sz w:val="23"/>
          <w:lang w:eastAsia="zh-CN"/>
        </w:rPr>
        <w:t>BMI,w</w:t>
      </w:r>
      <w:proofErr w:type="spellEnd"/>
      <w:r>
        <w:rPr>
          <w:rFonts w:ascii="Cambria Math" w:eastAsia="Cambria Math" w:hAnsi="Cambria Math" w:cs="Cambria Math"/>
          <w:color w:val="000000"/>
          <w:sz w:val="23"/>
          <w:lang w:eastAsia="zh-CN"/>
        </w:rPr>
        <w:t>) ≥ 0.90},  10 ≤ w ≤ 25    （4）</w:t>
      </w:r>
    </w:p>
    <w:p w14:paraId="501D7F7D" w14:textId="77777777" w:rsidR="007B01BB" w:rsidRDefault="00000000">
      <w:pPr>
        <w:ind w:firstLine="420"/>
        <w:jc w:val="both"/>
        <w:rPr>
          <w:lang w:eastAsia="zh-CN"/>
        </w:rPr>
      </w:pPr>
      <w:r>
        <w:rPr>
          <w:color w:val="20252B"/>
          <w:lang w:eastAsia="zh-CN"/>
        </w:rPr>
        <w:t>该定义等价于在90%可靠性约束下最小化检测延迟风险。若某BMI组在25周内无法达到90%，则改取达到85%的最早孕周并安排复测，避免为追求小幅概率提升而把检测推迟到治疗窗口更紧张的阶段。</w:t>
      </w:r>
    </w:p>
    <w:p w14:paraId="16B0AF8F" w14:textId="77777777" w:rsidR="007B01BB" w:rsidRDefault="00000000">
      <w:pPr>
        <w:pStyle w:val="1"/>
        <w:rPr>
          <w:lang w:eastAsia="zh-CN"/>
        </w:rPr>
      </w:pPr>
      <w:r>
        <w:rPr>
          <w:lang w:eastAsia="zh-CN"/>
        </w:rPr>
        <w:lastRenderedPageBreak/>
        <w:t>6  CART</w:t>
      </w:r>
      <w:r>
        <w:rPr>
          <w:lang w:eastAsia="zh-CN"/>
        </w:rPr>
        <w:t>自动</w:t>
      </w:r>
      <w:r>
        <w:rPr>
          <w:lang w:eastAsia="zh-CN"/>
        </w:rPr>
        <w:t>BMI</w:t>
      </w:r>
      <w:r>
        <w:rPr>
          <w:lang w:eastAsia="zh-CN"/>
        </w:rPr>
        <w:t>分组</w:t>
      </w:r>
    </w:p>
    <w:p w14:paraId="134BCFED" w14:textId="77777777" w:rsidR="007B01BB" w:rsidRDefault="00000000">
      <w:pPr>
        <w:ind w:firstLine="420"/>
        <w:jc w:val="both"/>
        <w:rPr>
          <w:lang w:eastAsia="zh-CN"/>
        </w:rPr>
      </w:pPr>
      <w:r>
        <w:rPr>
          <w:color w:val="20252B"/>
          <w:lang w:eastAsia="zh-CN"/>
        </w:rPr>
        <w:t>以基线BMI为输入、模型反演的t₀.₉₀为输出建立一维CART回归树。其分割准则是最小化叶节点内预测时点的残差平方和：</w:t>
      </w:r>
    </w:p>
    <w:p w14:paraId="5E747BCE" w14:textId="77777777" w:rsidR="007B01BB" w:rsidRDefault="00000000">
      <w:pPr>
        <w:spacing w:before="60"/>
        <w:jc w:val="center"/>
      </w:pPr>
      <w:r>
        <w:rPr>
          <w:rFonts w:ascii="Cambria Math" w:eastAsia="Cambria Math" w:hAnsi="Cambria Math" w:cs="Cambria Math"/>
          <w:color w:val="000000"/>
          <w:sz w:val="23"/>
        </w:rPr>
        <w:t xml:space="preserve">min  </w:t>
      </w:r>
      <w:proofErr w:type="spellStart"/>
      <w:r>
        <w:rPr>
          <w:rFonts w:ascii="Cambria Math" w:eastAsia="Cambria Math" w:hAnsi="Cambria Math" w:cs="Cambria Math"/>
          <w:color w:val="000000"/>
          <w:sz w:val="23"/>
        </w:rPr>
        <w:t>Σg</w:t>
      </w:r>
      <w:proofErr w:type="spellEnd"/>
      <w:r>
        <w:rPr>
          <w:rFonts w:ascii="Cambria Math" w:eastAsia="Cambria Math" w:hAnsi="Cambria Math" w:cs="Cambria Math"/>
          <w:color w:val="000000"/>
          <w:sz w:val="23"/>
        </w:rPr>
        <w:t xml:space="preserve"> </w:t>
      </w:r>
      <w:proofErr w:type="spellStart"/>
      <w:r>
        <w:rPr>
          <w:rFonts w:ascii="Cambria Math" w:eastAsia="Cambria Math" w:hAnsi="Cambria Math" w:cs="Cambria Math"/>
          <w:color w:val="000000"/>
          <w:sz w:val="23"/>
        </w:rPr>
        <w:t>Σi∈Gg</w:t>
      </w:r>
      <w:proofErr w:type="spellEnd"/>
      <w:r>
        <w:rPr>
          <w:rFonts w:ascii="Cambria Math" w:eastAsia="Cambria Math" w:hAnsi="Cambria Math" w:cs="Cambria Math"/>
          <w:color w:val="000000"/>
          <w:sz w:val="23"/>
        </w:rPr>
        <w:t xml:space="preserve"> (tᵢ − t̄g)²    （5）</w:t>
      </w:r>
    </w:p>
    <w:p w14:paraId="35BE7D55" w14:textId="77777777" w:rsidR="007B01BB" w:rsidRDefault="00000000">
      <w:pPr>
        <w:ind w:firstLine="420"/>
        <w:jc w:val="both"/>
      </w:pPr>
      <w:r>
        <w:rPr>
          <w:color w:val="20252B"/>
          <w:lang w:eastAsia="zh-CN"/>
        </w:rPr>
        <w:t>树的候选叶节点数限定为3～5，每个叶节点至少22人。五折交叉验证的MAE分别为1.246、0.798和0.660周，故选择5个叶节点。</w:t>
      </w:r>
      <w:r>
        <w:rPr>
          <w:color w:val="20252B"/>
        </w:rPr>
        <w:t>最终切点为28.71、29.47、31.03和32.09。</w:t>
      </w:r>
    </w:p>
    <w:p w14:paraId="67DAE424" w14:textId="77777777" w:rsidR="007B01BB" w:rsidRDefault="00000000">
      <w:pPr>
        <w:keepNext/>
        <w:spacing w:before="80" w:after="20"/>
        <w:jc w:val="center"/>
      </w:pPr>
      <w:r>
        <w:rPr>
          <w:noProof/>
        </w:rPr>
        <w:drawing>
          <wp:inline distT="0" distB="0" distL="0" distR="0" wp14:anchorId="5D931DFB" wp14:editId="6FF21D18">
            <wp:extent cx="5715000" cy="3696742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第二问_最优方案_BMI分组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696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6F371B" w14:textId="77777777" w:rsidR="007B01BB" w:rsidRDefault="00000000">
      <w:pPr>
        <w:spacing w:before="40" w:after="140"/>
        <w:jc w:val="center"/>
        <w:rPr>
          <w:lang w:eastAsia="zh-CN"/>
        </w:rPr>
      </w:pPr>
      <w:r>
        <w:rPr>
          <w:color w:val="66727E"/>
          <w:sz w:val="19"/>
          <w:lang w:eastAsia="zh-CN"/>
        </w:rPr>
        <w:t>图3  CART自动BMI分组及推荐NIPT时点</w:t>
      </w:r>
    </w:p>
    <w:tbl>
      <w:tblPr>
        <w:tblStyle w:val="aff1"/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700"/>
        <w:gridCol w:w="2900"/>
        <w:gridCol w:w="900"/>
        <w:gridCol w:w="1500"/>
        <w:gridCol w:w="1600"/>
        <w:gridCol w:w="1760"/>
      </w:tblGrid>
      <w:tr w:rsidR="007B01BB" w14:paraId="2FF6818B" w14:textId="77777777">
        <w:trPr>
          <w:tblHeader/>
          <w:jc w:val="center"/>
        </w:trPr>
        <w:tc>
          <w:tcPr>
            <w:tcW w:w="700" w:type="dxa"/>
            <w:shd w:val="clear" w:color="auto" w:fill="D9EA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A1F493" w14:textId="77777777" w:rsidR="007B01BB" w:rsidRDefault="00000000">
            <w:pPr>
              <w:spacing w:after="0"/>
              <w:jc w:val="center"/>
            </w:pPr>
            <w:proofErr w:type="spellStart"/>
            <w:r>
              <w:rPr>
                <w:b/>
                <w:color w:val="17365D"/>
                <w:sz w:val="17"/>
              </w:rPr>
              <w:t>组别</w:t>
            </w:r>
            <w:proofErr w:type="spellEnd"/>
          </w:p>
        </w:tc>
        <w:tc>
          <w:tcPr>
            <w:tcW w:w="2900" w:type="dxa"/>
            <w:shd w:val="clear" w:color="auto" w:fill="D9EA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30AF94" w14:textId="77777777" w:rsidR="007B01BB" w:rsidRDefault="00000000">
            <w:pPr>
              <w:spacing w:after="0"/>
              <w:jc w:val="center"/>
            </w:pPr>
            <w:r>
              <w:rPr>
                <w:b/>
                <w:color w:val="17365D"/>
                <w:sz w:val="17"/>
              </w:rPr>
              <w:t>BMI区间</w:t>
            </w:r>
          </w:p>
        </w:tc>
        <w:tc>
          <w:tcPr>
            <w:tcW w:w="900" w:type="dxa"/>
            <w:shd w:val="clear" w:color="auto" w:fill="D9EA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CC8421" w14:textId="77777777" w:rsidR="007B01BB" w:rsidRDefault="00000000">
            <w:pPr>
              <w:spacing w:after="0"/>
              <w:jc w:val="center"/>
            </w:pPr>
            <w:r>
              <w:rPr>
                <w:b/>
                <w:color w:val="17365D"/>
                <w:sz w:val="17"/>
              </w:rPr>
              <w:t>人数</w:t>
            </w:r>
          </w:p>
        </w:tc>
        <w:tc>
          <w:tcPr>
            <w:tcW w:w="1500" w:type="dxa"/>
            <w:shd w:val="clear" w:color="auto" w:fill="D9EA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F5A4C7" w14:textId="77777777" w:rsidR="007B01BB" w:rsidRDefault="00000000">
            <w:pPr>
              <w:spacing w:after="0"/>
              <w:jc w:val="center"/>
            </w:pPr>
            <w:r>
              <w:rPr>
                <w:b/>
                <w:color w:val="17365D"/>
                <w:sz w:val="17"/>
              </w:rPr>
              <w:t>推荐时点</w:t>
            </w:r>
          </w:p>
        </w:tc>
        <w:tc>
          <w:tcPr>
            <w:tcW w:w="1600" w:type="dxa"/>
            <w:shd w:val="clear" w:color="auto" w:fill="D9EA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BF4860" w14:textId="77777777" w:rsidR="007B01BB" w:rsidRDefault="00000000">
            <w:pPr>
              <w:spacing w:after="0"/>
              <w:jc w:val="center"/>
            </w:pPr>
            <w:r>
              <w:rPr>
                <w:b/>
                <w:color w:val="17365D"/>
                <w:sz w:val="17"/>
              </w:rPr>
              <w:t>平均达标率</w:t>
            </w:r>
          </w:p>
        </w:tc>
        <w:tc>
          <w:tcPr>
            <w:tcW w:w="1760" w:type="dxa"/>
            <w:shd w:val="clear" w:color="auto" w:fill="D9EA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485BCC" w14:textId="77777777" w:rsidR="007B01BB" w:rsidRDefault="00000000">
            <w:pPr>
              <w:spacing w:after="0"/>
              <w:jc w:val="center"/>
            </w:pPr>
            <w:r>
              <w:rPr>
                <w:b/>
                <w:color w:val="17365D"/>
                <w:sz w:val="17"/>
              </w:rPr>
              <w:t>策略</w:t>
            </w:r>
          </w:p>
        </w:tc>
      </w:tr>
      <w:tr w:rsidR="007B01BB" w14:paraId="0AFCB1A7" w14:textId="77777777">
        <w:trPr>
          <w:jc w:val="center"/>
        </w:trPr>
        <w:tc>
          <w:tcPr>
            <w:tcW w:w="700" w:type="dxa"/>
            <w:vAlign w:val="center"/>
          </w:tcPr>
          <w:p w14:paraId="1ED48292" w14:textId="77777777" w:rsidR="007B01BB" w:rsidRDefault="00000000">
            <w:pPr>
              <w:spacing w:after="0"/>
              <w:jc w:val="center"/>
            </w:pPr>
            <w:r>
              <w:rPr>
                <w:color w:val="20252B"/>
                <w:sz w:val="17"/>
              </w:rPr>
              <w:t>1</w:t>
            </w:r>
          </w:p>
        </w:tc>
        <w:tc>
          <w:tcPr>
            <w:tcW w:w="2900" w:type="dxa"/>
            <w:vAlign w:val="center"/>
          </w:tcPr>
          <w:p w14:paraId="59A1E30B" w14:textId="77777777" w:rsidR="007B01BB" w:rsidRDefault="00000000">
            <w:pPr>
              <w:spacing w:after="0"/>
              <w:jc w:val="center"/>
            </w:pPr>
            <w:r>
              <w:rPr>
                <w:color w:val="20252B"/>
                <w:sz w:val="17"/>
              </w:rPr>
              <w:t>BMI &lt; 28.71</w:t>
            </w:r>
          </w:p>
        </w:tc>
        <w:tc>
          <w:tcPr>
            <w:tcW w:w="900" w:type="dxa"/>
            <w:vAlign w:val="center"/>
          </w:tcPr>
          <w:p w14:paraId="32900C31" w14:textId="77777777" w:rsidR="007B01BB" w:rsidRDefault="00000000">
            <w:pPr>
              <w:spacing w:after="0"/>
              <w:jc w:val="center"/>
            </w:pPr>
            <w:r>
              <w:rPr>
                <w:color w:val="20252B"/>
                <w:sz w:val="17"/>
              </w:rPr>
              <w:t>25</w:t>
            </w:r>
          </w:p>
        </w:tc>
        <w:tc>
          <w:tcPr>
            <w:tcW w:w="1500" w:type="dxa"/>
            <w:vAlign w:val="center"/>
          </w:tcPr>
          <w:p w14:paraId="5B307C8E" w14:textId="77777777" w:rsidR="007B01BB" w:rsidRDefault="00000000">
            <w:pPr>
              <w:spacing w:after="0"/>
              <w:jc w:val="center"/>
            </w:pPr>
            <w:r>
              <w:rPr>
                <w:color w:val="20252B"/>
                <w:sz w:val="17"/>
              </w:rPr>
              <w:t>10.5周</w:t>
            </w:r>
          </w:p>
        </w:tc>
        <w:tc>
          <w:tcPr>
            <w:tcW w:w="1600" w:type="dxa"/>
            <w:vAlign w:val="center"/>
          </w:tcPr>
          <w:p w14:paraId="6E273BBC" w14:textId="77777777" w:rsidR="007B01BB" w:rsidRDefault="00000000">
            <w:pPr>
              <w:spacing w:after="0"/>
              <w:jc w:val="center"/>
            </w:pPr>
            <w:r>
              <w:rPr>
                <w:color w:val="20252B"/>
                <w:sz w:val="17"/>
              </w:rPr>
              <w:t>90.1%</w:t>
            </w:r>
          </w:p>
        </w:tc>
        <w:tc>
          <w:tcPr>
            <w:tcW w:w="1760" w:type="dxa"/>
            <w:vAlign w:val="center"/>
          </w:tcPr>
          <w:p w14:paraId="722B8791" w14:textId="77777777" w:rsidR="007B01BB" w:rsidRDefault="00000000">
            <w:pPr>
              <w:spacing w:after="0"/>
            </w:pPr>
            <w:r>
              <w:rPr>
                <w:color w:val="20252B"/>
                <w:sz w:val="17"/>
              </w:rPr>
              <w:t>满足90%</w:t>
            </w:r>
          </w:p>
        </w:tc>
      </w:tr>
      <w:tr w:rsidR="007B01BB" w14:paraId="0BC936C8" w14:textId="77777777">
        <w:trPr>
          <w:jc w:val="center"/>
        </w:trPr>
        <w:tc>
          <w:tcPr>
            <w:tcW w:w="700" w:type="dxa"/>
            <w:vAlign w:val="center"/>
          </w:tcPr>
          <w:p w14:paraId="1B37FD68" w14:textId="77777777" w:rsidR="007B01BB" w:rsidRDefault="00000000">
            <w:pPr>
              <w:spacing w:after="0"/>
              <w:jc w:val="center"/>
            </w:pPr>
            <w:r>
              <w:rPr>
                <w:color w:val="20252B"/>
                <w:sz w:val="17"/>
              </w:rPr>
              <w:t>2</w:t>
            </w:r>
          </w:p>
        </w:tc>
        <w:tc>
          <w:tcPr>
            <w:tcW w:w="2900" w:type="dxa"/>
            <w:vAlign w:val="center"/>
          </w:tcPr>
          <w:p w14:paraId="4E0138ED" w14:textId="77777777" w:rsidR="007B01BB" w:rsidRDefault="00000000">
            <w:pPr>
              <w:spacing w:after="0"/>
              <w:jc w:val="center"/>
            </w:pPr>
            <w:r>
              <w:rPr>
                <w:color w:val="20252B"/>
                <w:sz w:val="17"/>
              </w:rPr>
              <w:t>28.71 ≤ BMI &lt; 29.47</w:t>
            </w:r>
          </w:p>
        </w:tc>
        <w:tc>
          <w:tcPr>
            <w:tcW w:w="900" w:type="dxa"/>
            <w:vAlign w:val="center"/>
          </w:tcPr>
          <w:p w14:paraId="1FF1B424" w14:textId="77777777" w:rsidR="007B01BB" w:rsidRDefault="00000000">
            <w:pPr>
              <w:spacing w:after="0"/>
              <w:jc w:val="center"/>
            </w:pPr>
            <w:r>
              <w:rPr>
                <w:color w:val="20252B"/>
                <w:sz w:val="17"/>
              </w:rPr>
              <w:t>31</w:t>
            </w:r>
          </w:p>
        </w:tc>
        <w:tc>
          <w:tcPr>
            <w:tcW w:w="1500" w:type="dxa"/>
            <w:vAlign w:val="center"/>
          </w:tcPr>
          <w:p w14:paraId="16988CF7" w14:textId="77777777" w:rsidR="007B01BB" w:rsidRDefault="00000000">
            <w:pPr>
              <w:spacing w:after="0"/>
              <w:jc w:val="center"/>
            </w:pPr>
            <w:r>
              <w:rPr>
                <w:color w:val="20252B"/>
                <w:sz w:val="17"/>
              </w:rPr>
              <w:t>14.0周</w:t>
            </w:r>
          </w:p>
        </w:tc>
        <w:tc>
          <w:tcPr>
            <w:tcW w:w="1600" w:type="dxa"/>
            <w:vAlign w:val="center"/>
          </w:tcPr>
          <w:p w14:paraId="7564A8EF" w14:textId="77777777" w:rsidR="007B01BB" w:rsidRDefault="00000000">
            <w:pPr>
              <w:spacing w:after="0"/>
              <w:jc w:val="center"/>
            </w:pPr>
            <w:r>
              <w:rPr>
                <w:color w:val="20252B"/>
                <w:sz w:val="17"/>
              </w:rPr>
              <w:t>90.1%</w:t>
            </w:r>
          </w:p>
        </w:tc>
        <w:tc>
          <w:tcPr>
            <w:tcW w:w="1760" w:type="dxa"/>
            <w:vAlign w:val="center"/>
          </w:tcPr>
          <w:p w14:paraId="31B1C46C" w14:textId="77777777" w:rsidR="007B01BB" w:rsidRDefault="00000000">
            <w:pPr>
              <w:spacing w:after="0"/>
            </w:pPr>
            <w:r>
              <w:rPr>
                <w:color w:val="20252B"/>
                <w:sz w:val="17"/>
              </w:rPr>
              <w:t>满足90%</w:t>
            </w:r>
          </w:p>
        </w:tc>
      </w:tr>
      <w:tr w:rsidR="007B01BB" w14:paraId="4CEF992F" w14:textId="77777777">
        <w:trPr>
          <w:jc w:val="center"/>
        </w:trPr>
        <w:tc>
          <w:tcPr>
            <w:tcW w:w="700" w:type="dxa"/>
            <w:vAlign w:val="center"/>
          </w:tcPr>
          <w:p w14:paraId="41475E70" w14:textId="77777777" w:rsidR="007B01BB" w:rsidRDefault="00000000">
            <w:pPr>
              <w:spacing w:after="0"/>
              <w:jc w:val="center"/>
            </w:pPr>
            <w:r>
              <w:rPr>
                <w:color w:val="20252B"/>
                <w:sz w:val="17"/>
              </w:rPr>
              <w:t>3</w:t>
            </w:r>
          </w:p>
        </w:tc>
        <w:tc>
          <w:tcPr>
            <w:tcW w:w="2900" w:type="dxa"/>
            <w:vAlign w:val="center"/>
          </w:tcPr>
          <w:p w14:paraId="69FEC8F9" w14:textId="77777777" w:rsidR="007B01BB" w:rsidRDefault="00000000">
            <w:pPr>
              <w:spacing w:after="0"/>
              <w:jc w:val="center"/>
            </w:pPr>
            <w:r>
              <w:rPr>
                <w:color w:val="20252B"/>
                <w:sz w:val="17"/>
              </w:rPr>
              <w:t>29.47 ≤ BMI &lt; 31.03</w:t>
            </w:r>
          </w:p>
        </w:tc>
        <w:tc>
          <w:tcPr>
            <w:tcW w:w="900" w:type="dxa"/>
            <w:vAlign w:val="center"/>
          </w:tcPr>
          <w:p w14:paraId="6E70F3F0" w14:textId="77777777" w:rsidR="007B01BB" w:rsidRDefault="00000000">
            <w:pPr>
              <w:spacing w:after="0"/>
              <w:jc w:val="center"/>
            </w:pPr>
            <w:r>
              <w:rPr>
                <w:color w:val="20252B"/>
                <w:sz w:val="17"/>
              </w:rPr>
              <w:t>67</w:t>
            </w:r>
          </w:p>
        </w:tc>
        <w:tc>
          <w:tcPr>
            <w:tcW w:w="1500" w:type="dxa"/>
            <w:vAlign w:val="center"/>
          </w:tcPr>
          <w:p w14:paraId="7E4B2536" w14:textId="77777777" w:rsidR="007B01BB" w:rsidRDefault="00000000">
            <w:pPr>
              <w:spacing w:after="0"/>
              <w:jc w:val="center"/>
            </w:pPr>
            <w:r>
              <w:rPr>
                <w:color w:val="20252B"/>
                <w:sz w:val="17"/>
              </w:rPr>
              <w:t>17.5周</w:t>
            </w:r>
          </w:p>
        </w:tc>
        <w:tc>
          <w:tcPr>
            <w:tcW w:w="1600" w:type="dxa"/>
            <w:vAlign w:val="center"/>
          </w:tcPr>
          <w:p w14:paraId="23DF7F88" w14:textId="77777777" w:rsidR="007B01BB" w:rsidRDefault="00000000">
            <w:pPr>
              <w:spacing w:after="0"/>
              <w:jc w:val="center"/>
            </w:pPr>
            <w:r>
              <w:rPr>
                <w:color w:val="20252B"/>
                <w:sz w:val="17"/>
              </w:rPr>
              <w:t>90.1%</w:t>
            </w:r>
          </w:p>
        </w:tc>
        <w:tc>
          <w:tcPr>
            <w:tcW w:w="1760" w:type="dxa"/>
            <w:vAlign w:val="center"/>
          </w:tcPr>
          <w:p w14:paraId="502C4212" w14:textId="77777777" w:rsidR="007B01BB" w:rsidRDefault="00000000">
            <w:pPr>
              <w:spacing w:after="0"/>
            </w:pPr>
            <w:r>
              <w:rPr>
                <w:color w:val="20252B"/>
                <w:sz w:val="17"/>
              </w:rPr>
              <w:t>满足90%</w:t>
            </w:r>
          </w:p>
        </w:tc>
      </w:tr>
      <w:tr w:rsidR="007B01BB" w14:paraId="67A47A59" w14:textId="77777777">
        <w:trPr>
          <w:jc w:val="center"/>
        </w:trPr>
        <w:tc>
          <w:tcPr>
            <w:tcW w:w="700" w:type="dxa"/>
            <w:vAlign w:val="center"/>
          </w:tcPr>
          <w:p w14:paraId="1ED48874" w14:textId="77777777" w:rsidR="007B01BB" w:rsidRDefault="00000000">
            <w:pPr>
              <w:spacing w:after="0"/>
              <w:jc w:val="center"/>
            </w:pPr>
            <w:r>
              <w:rPr>
                <w:color w:val="20252B"/>
                <w:sz w:val="17"/>
              </w:rPr>
              <w:t>4</w:t>
            </w:r>
          </w:p>
        </w:tc>
        <w:tc>
          <w:tcPr>
            <w:tcW w:w="2900" w:type="dxa"/>
            <w:vAlign w:val="center"/>
          </w:tcPr>
          <w:p w14:paraId="5A837E97" w14:textId="77777777" w:rsidR="007B01BB" w:rsidRDefault="00000000">
            <w:pPr>
              <w:spacing w:after="0"/>
              <w:jc w:val="center"/>
            </w:pPr>
            <w:r>
              <w:rPr>
                <w:color w:val="20252B"/>
                <w:sz w:val="17"/>
              </w:rPr>
              <w:t>31.03 ≤ BMI &lt; 32.09</w:t>
            </w:r>
          </w:p>
        </w:tc>
        <w:tc>
          <w:tcPr>
            <w:tcW w:w="900" w:type="dxa"/>
            <w:vAlign w:val="center"/>
          </w:tcPr>
          <w:p w14:paraId="019C4665" w14:textId="77777777" w:rsidR="007B01BB" w:rsidRDefault="00000000">
            <w:pPr>
              <w:spacing w:after="0"/>
              <w:jc w:val="center"/>
            </w:pPr>
            <w:r>
              <w:rPr>
                <w:color w:val="20252B"/>
                <w:sz w:val="17"/>
              </w:rPr>
              <w:t>35</w:t>
            </w:r>
          </w:p>
        </w:tc>
        <w:tc>
          <w:tcPr>
            <w:tcW w:w="1500" w:type="dxa"/>
            <w:vAlign w:val="center"/>
          </w:tcPr>
          <w:p w14:paraId="63453481" w14:textId="77777777" w:rsidR="007B01BB" w:rsidRDefault="00000000">
            <w:pPr>
              <w:spacing w:after="0"/>
              <w:jc w:val="center"/>
            </w:pPr>
            <w:r>
              <w:rPr>
                <w:color w:val="20252B"/>
                <w:sz w:val="17"/>
              </w:rPr>
              <w:t>22.0周</w:t>
            </w:r>
          </w:p>
        </w:tc>
        <w:tc>
          <w:tcPr>
            <w:tcW w:w="1600" w:type="dxa"/>
            <w:vAlign w:val="center"/>
          </w:tcPr>
          <w:p w14:paraId="70FC3252" w14:textId="77777777" w:rsidR="007B01BB" w:rsidRDefault="00000000">
            <w:pPr>
              <w:spacing w:after="0"/>
              <w:jc w:val="center"/>
            </w:pPr>
            <w:r>
              <w:rPr>
                <w:color w:val="20252B"/>
                <w:sz w:val="17"/>
              </w:rPr>
              <w:t>90.2%</w:t>
            </w:r>
          </w:p>
        </w:tc>
        <w:tc>
          <w:tcPr>
            <w:tcW w:w="1760" w:type="dxa"/>
            <w:vAlign w:val="center"/>
          </w:tcPr>
          <w:p w14:paraId="162369F4" w14:textId="77777777" w:rsidR="007B01BB" w:rsidRDefault="00000000">
            <w:pPr>
              <w:spacing w:after="0"/>
            </w:pPr>
            <w:r>
              <w:rPr>
                <w:color w:val="20252B"/>
                <w:sz w:val="17"/>
              </w:rPr>
              <w:t>满足90%</w:t>
            </w:r>
          </w:p>
        </w:tc>
      </w:tr>
      <w:tr w:rsidR="007B01BB" w14:paraId="63F26B2E" w14:textId="77777777">
        <w:trPr>
          <w:jc w:val="center"/>
        </w:trPr>
        <w:tc>
          <w:tcPr>
            <w:tcW w:w="700" w:type="dxa"/>
            <w:vAlign w:val="center"/>
          </w:tcPr>
          <w:p w14:paraId="2BF697D4" w14:textId="77777777" w:rsidR="007B01BB" w:rsidRDefault="00000000">
            <w:pPr>
              <w:spacing w:after="0"/>
              <w:jc w:val="center"/>
            </w:pPr>
            <w:r>
              <w:rPr>
                <w:color w:val="20252B"/>
                <w:sz w:val="17"/>
              </w:rPr>
              <w:t>5</w:t>
            </w:r>
          </w:p>
        </w:tc>
        <w:tc>
          <w:tcPr>
            <w:tcW w:w="2900" w:type="dxa"/>
            <w:vAlign w:val="center"/>
          </w:tcPr>
          <w:p w14:paraId="2E2B5E48" w14:textId="77777777" w:rsidR="007B01BB" w:rsidRDefault="00000000">
            <w:pPr>
              <w:spacing w:after="0"/>
              <w:jc w:val="center"/>
            </w:pPr>
            <w:r>
              <w:rPr>
                <w:color w:val="20252B"/>
                <w:sz w:val="17"/>
              </w:rPr>
              <w:t>BMI ≥ 32.09</w:t>
            </w:r>
          </w:p>
        </w:tc>
        <w:tc>
          <w:tcPr>
            <w:tcW w:w="900" w:type="dxa"/>
            <w:vAlign w:val="center"/>
          </w:tcPr>
          <w:p w14:paraId="50CCC7D2" w14:textId="77777777" w:rsidR="007B01BB" w:rsidRDefault="00000000">
            <w:pPr>
              <w:spacing w:after="0"/>
              <w:jc w:val="center"/>
            </w:pPr>
            <w:r>
              <w:rPr>
                <w:color w:val="20252B"/>
                <w:sz w:val="17"/>
              </w:rPr>
              <w:t>109</w:t>
            </w:r>
          </w:p>
        </w:tc>
        <w:tc>
          <w:tcPr>
            <w:tcW w:w="1500" w:type="dxa"/>
            <w:vAlign w:val="center"/>
          </w:tcPr>
          <w:p w14:paraId="5B1AB10F" w14:textId="77777777" w:rsidR="007B01BB" w:rsidRDefault="00000000">
            <w:pPr>
              <w:spacing w:after="0"/>
              <w:jc w:val="center"/>
            </w:pPr>
            <w:r>
              <w:rPr>
                <w:color w:val="20252B"/>
                <w:sz w:val="17"/>
              </w:rPr>
              <w:t>21.0周</w:t>
            </w:r>
          </w:p>
        </w:tc>
        <w:tc>
          <w:tcPr>
            <w:tcW w:w="1600" w:type="dxa"/>
            <w:vAlign w:val="center"/>
          </w:tcPr>
          <w:p w14:paraId="2A076A43" w14:textId="77777777" w:rsidR="007B01BB" w:rsidRDefault="00000000">
            <w:pPr>
              <w:spacing w:after="0"/>
              <w:jc w:val="center"/>
            </w:pPr>
            <w:r>
              <w:rPr>
                <w:color w:val="20252B"/>
                <w:sz w:val="17"/>
              </w:rPr>
              <w:t>85.2%</w:t>
            </w:r>
          </w:p>
        </w:tc>
        <w:tc>
          <w:tcPr>
            <w:tcW w:w="1760" w:type="dxa"/>
            <w:vAlign w:val="center"/>
          </w:tcPr>
          <w:p w14:paraId="79844FB2" w14:textId="77777777" w:rsidR="007B01BB" w:rsidRDefault="00000000">
            <w:pPr>
              <w:spacing w:after="0"/>
            </w:pPr>
            <w:r>
              <w:rPr>
                <w:color w:val="20252B"/>
                <w:sz w:val="17"/>
              </w:rPr>
              <w:t>建议复测</w:t>
            </w:r>
          </w:p>
        </w:tc>
      </w:tr>
    </w:tbl>
    <w:p w14:paraId="6606A5CA" w14:textId="77777777" w:rsidR="007B01BB" w:rsidRDefault="007B01BB">
      <w:pPr>
        <w:spacing w:after="20"/>
      </w:pPr>
    </w:p>
    <w:p w14:paraId="28132DAC" w14:textId="77777777" w:rsidR="007B01BB" w:rsidRDefault="00000000">
      <w:pPr>
        <w:spacing w:before="40" w:after="140"/>
        <w:jc w:val="center"/>
        <w:rPr>
          <w:lang w:eastAsia="zh-CN"/>
        </w:rPr>
      </w:pPr>
      <w:r>
        <w:rPr>
          <w:color w:val="66727E"/>
          <w:sz w:val="19"/>
          <w:lang w:eastAsia="zh-CN"/>
        </w:rPr>
        <w:t>表2  BMI分组、推荐检测时点及可靠性</w:t>
      </w:r>
    </w:p>
    <w:p w14:paraId="02CBD98F" w14:textId="77777777" w:rsidR="007B01BB" w:rsidRDefault="00000000">
      <w:pPr>
        <w:ind w:firstLine="420"/>
        <w:jc w:val="both"/>
        <w:rPr>
          <w:lang w:eastAsia="zh-CN"/>
        </w:rPr>
      </w:pPr>
      <w:r>
        <w:rPr>
          <w:color w:val="20252B"/>
          <w:lang w:eastAsia="zh-CN"/>
        </w:rPr>
        <w:lastRenderedPageBreak/>
        <w:t>前四组均选择达到90%平均达标概率的最早时点。第五组在25周内预测达标率仍低于90%，若机械推迟到25周只能获得有限准确率增益，却显著增加延迟风险，因此建议21周先检；若结果未达标，应尽快复测或结合其他临床信息进行个体化判断。</w:t>
      </w:r>
    </w:p>
    <w:p w14:paraId="6165EDA8" w14:textId="05604886" w:rsidR="007B01BB" w:rsidRDefault="005878E6">
      <w:pPr>
        <w:keepNext/>
        <w:spacing w:before="80" w:after="20"/>
        <w:jc w:val="center"/>
      </w:pPr>
      <w:r>
        <w:rPr>
          <w:noProof/>
        </w:rPr>
        <w:drawing>
          <wp:inline distT="0" distB="0" distL="0" distR="0" wp14:anchorId="59CAFDF1" wp14:editId="10C99972">
            <wp:extent cx="5760720" cy="3721735"/>
            <wp:effectExtent l="0" t="0" r="5080" b="0"/>
            <wp:docPr id="1124721227" name="图片 1" descr="图表, 折线图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4721227" name="图片 1" descr="图表, 折线图&#10;&#10;AI 生成的内容可能不正确。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721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5B3468" w14:textId="77777777" w:rsidR="007B01BB" w:rsidRDefault="00000000">
      <w:pPr>
        <w:spacing w:before="40" w:after="140"/>
        <w:jc w:val="center"/>
        <w:rPr>
          <w:lang w:eastAsia="zh-CN"/>
        </w:rPr>
      </w:pPr>
      <w:r>
        <w:rPr>
          <w:color w:val="66727E"/>
          <w:sz w:val="19"/>
          <w:lang w:eastAsia="zh-CN"/>
        </w:rPr>
        <w:t>图4  各BMI组的预测达标概率曲线</w:t>
      </w:r>
    </w:p>
    <w:p w14:paraId="2BF63341" w14:textId="77777777" w:rsidR="007B01BB" w:rsidRDefault="00000000">
      <w:pPr>
        <w:pStyle w:val="1"/>
        <w:rPr>
          <w:lang w:eastAsia="zh-CN"/>
        </w:rPr>
      </w:pPr>
      <w:r>
        <w:rPr>
          <w:lang w:eastAsia="zh-CN"/>
        </w:rPr>
        <w:t xml:space="preserve">7  </w:t>
      </w:r>
      <w:r>
        <w:rPr>
          <w:lang w:eastAsia="zh-CN"/>
        </w:rPr>
        <w:t>切点稳定性与检测误差分析</w:t>
      </w:r>
    </w:p>
    <w:p w14:paraId="1F19044E" w14:textId="77777777" w:rsidR="007B01BB" w:rsidRDefault="00000000">
      <w:pPr>
        <w:pStyle w:val="21"/>
      </w:pPr>
      <w:r>
        <w:t xml:space="preserve">7.1 </w:t>
      </w:r>
      <w:proofErr w:type="spellStart"/>
      <w:r>
        <w:t>Bootstrap</w:t>
      </w:r>
      <w:r>
        <w:t>切点稳定性</w:t>
      </w:r>
      <w:proofErr w:type="spellEnd"/>
    </w:p>
    <w:tbl>
      <w:tblPr>
        <w:tblStyle w:val="aff1"/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1200"/>
        <w:gridCol w:w="1900"/>
        <w:gridCol w:w="2800"/>
        <w:gridCol w:w="3460"/>
      </w:tblGrid>
      <w:tr w:rsidR="007B01BB" w14:paraId="0D6BFFEC" w14:textId="77777777">
        <w:trPr>
          <w:tblHeader/>
          <w:jc w:val="center"/>
        </w:trPr>
        <w:tc>
          <w:tcPr>
            <w:tcW w:w="1200" w:type="dxa"/>
            <w:shd w:val="clear" w:color="auto" w:fill="D9EA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C6E6F3" w14:textId="77777777" w:rsidR="007B01BB" w:rsidRDefault="00000000">
            <w:pPr>
              <w:spacing w:after="0"/>
              <w:jc w:val="center"/>
            </w:pPr>
            <w:r>
              <w:rPr>
                <w:b/>
                <w:color w:val="17365D"/>
                <w:sz w:val="18"/>
              </w:rPr>
              <w:t>切点</w:t>
            </w:r>
          </w:p>
        </w:tc>
        <w:tc>
          <w:tcPr>
            <w:tcW w:w="1900" w:type="dxa"/>
            <w:shd w:val="clear" w:color="auto" w:fill="D9EA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96BE1C" w14:textId="77777777" w:rsidR="007B01BB" w:rsidRDefault="00000000">
            <w:pPr>
              <w:spacing w:after="0"/>
              <w:jc w:val="center"/>
            </w:pPr>
            <w:r>
              <w:rPr>
                <w:b/>
                <w:color w:val="17365D"/>
                <w:sz w:val="18"/>
              </w:rPr>
              <w:t>原始值</w:t>
            </w:r>
          </w:p>
        </w:tc>
        <w:tc>
          <w:tcPr>
            <w:tcW w:w="2800" w:type="dxa"/>
            <w:shd w:val="clear" w:color="auto" w:fill="D9EA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081D1A" w14:textId="77777777" w:rsidR="007B01BB" w:rsidRDefault="00000000">
            <w:pPr>
              <w:spacing w:after="0"/>
              <w:jc w:val="center"/>
            </w:pPr>
            <w:r>
              <w:rPr>
                <w:b/>
                <w:color w:val="17365D"/>
                <w:sz w:val="18"/>
              </w:rPr>
              <w:t>Bootstrap中位数</w:t>
            </w:r>
          </w:p>
        </w:tc>
        <w:tc>
          <w:tcPr>
            <w:tcW w:w="3460" w:type="dxa"/>
            <w:shd w:val="clear" w:color="auto" w:fill="D9EA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513BB1" w14:textId="77777777" w:rsidR="007B01BB" w:rsidRDefault="00000000">
            <w:pPr>
              <w:spacing w:after="0"/>
              <w:jc w:val="center"/>
            </w:pPr>
            <w:r>
              <w:rPr>
                <w:b/>
                <w:color w:val="17365D"/>
                <w:sz w:val="18"/>
              </w:rPr>
              <w:t>95%区间</w:t>
            </w:r>
          </w:p>
        </w:tc>
      </w:tr>
      <w:tr w:rsidR="007B01BB" w14:paraId="043FC5BA" w14:textId="77777777">
        <w:trPr>
          <w:jc w:val="center"/>
        </w:trPr>
        <w:tc>
          <w:tcPr>
            <w:tcW w:w="1200" w:type="dxa"/>
            <w:vAlign w:val="center"/>
          </w:tcPr>
          <w:p w14:paraId="0345B590" w14:textId="77777777" w:rsidR="007B01BB" w:rsidRDefault="00000000">
            <w:pPr>
              <w:spacing w:after="0"/>
              <w:jc w:val="center"/>
            </w:pPr>
            <w:r>
              <w:rPr>
                <w:color w:val="20252B"/>
                <w:sz w:val="18"/>
              </w:rPr>
              <w:t>1</w:t>
            </w:r>
          </w:p>
        </w:tc>
        <w:tc>
          <w:tcPr>
            <w:tcW w:w="1900" w:type="dxa"/>
            <w:vAlign w:val="center"/>
          </w:tcPr>
          <w:p w14:paraId="24530AF7" w14:textId="77777777" w:rsidR="007B01BB" w:rsidRDefault="00000000">
            <w:pPr>
              <w:spacing w:after="0"/>
              <w:jc w:val="center"/>
            </w:pPr>
            <w:r>
              <w:rPr>
                <w:color w:val="20252B"/>
                <w:sz w:val="18"/>
              </w:rPr>
              <w:t>28.71</w:t>
            </w:r>
          </w:p>
        </w:tc>
        <w:tc>
          <w:tcPr>
            <w:tcW w:w="2800" w:type="dxa"/>
            <w:vAlign w:val="center"/>
          </w:tcPr>
          <w:p w14:paraId="20D85B4F" w14:textId="77777777" w:rsidR="007B01BB" w:rsidRDefault="00000000">
            <w:pPr>
              <w:spacing w:after="0"/>
              <w:jc w:val="center"/>
            </w:pPr>
            <w:r>
              <w:rPr>
                <w:color w:val="20252B"/>
                <w:sz w:val="18"/>
              </w:rPr>
              <w:t>28.77</w:t>
            </w:r>
          </w:p>
        </w:tc>
        <w:tc>
          <w:tcPr>
            <w:tcW w:w="3460" w:type="dxa"/>
            <w:vAlign w:val="center"/>
          </w:tcPr>
          <w:p w14:paraId="2733AB4F" w14:textId="77777777" w:rsidR="007B01BB" w:rsidRDefault="00000000">
            <w:pPr>
              <w:spacing w:after="0"/>
              <w:jc w:val="center"/>
            </w:pPr>
            <w:r>
              <w:rPr>
                <w:color w:val="20252B"/>
                <w:sz w:val="18"/>
              </w:rPr>
              <w:t>[28.48, 29.51]</w:t>
            </w:r>
          </w:p>
        </w:tc>
      </w:tr>
      <w:tr w:rsidR="007B01BB" w14:paraId="36503305" w14:textId="77777777">
        <w:trPr>
          <w:jc w:val="center"/>
        </w:trPr>
        <w:tc>
          <w:tcPr>
            <w:tcW w:w="1200" w:type="dxa"/>
            <w:vAlign w:val="center"/>
          </w:tcPr>
          <w:p w14:paraId="1D9123C0" w14:textId="77777777" w:rsidR="007B01BB" w:rsidRDefault="00000000">
            <w:pPr>
              <w:spacing w:after="0"/>
              <w:jc w:val="center"/>
            </w:pPr>
            <w:r>
              <w:rPr>
                <w:color w:val="20252B"/>
                <w:sz w:val="18"/>
              </w:rPr>
              <w:t>2</w:t>
            </w:r>
          </w:p>
        </w:tc>
        <w:tc>
          <w:tcPr>
            <w:tcW w:w="1900" w:type="dxa"/>
            <w:vAlign w:val="center"/>
          </w:tcPr>
          <w:p w14:paraId="6415328C" w14:textId="77777777" w:rsidR="007B01BB" w:rsidRDefault="00000000">
            <w:pPr>
              <w:spacing w:after="0"/>
              <w:jc w:val="center"/>
            </w:pPr>
            <w:r>
              <w:rPr>
                <w:color w:val="20252B"/>
                <w:sz w:val="18"/>
              </w:rPr>
              <w:t>29.47</w:t>
            </w:r>
          </w:p>
        </w:tc>
        <w:tc>
          <w:tcPr>
            <w:tcW w:w="2800" w:type="dxa"/>
            <w:vAlign w:val="center"/>
          </w:tcPr>
          <w:p w14:paraId="1C410EBC" w14:textId="77777777" w:rsidR="007B01BB" w:rsidRDefault="00000000">
            <w:pPr>
              <w:spacing w:after="0"/>
              <w:jc w:val="center"/>
            </w:pPr>
            <w:r>
              <w:rPr>
                <w:color w:val="20252B"/>
                <w:sz w:val="18"/>
              </w:rPr>
              <w:t>29.53</w:t>
            </w:r>
          </w:p>
        </w:tc>
        <w:tc>
          <w:tcPr>
            <w:tcW w:w="3460" w:type="dxa"/>
            <w:vAlign w:val="center"/>
          </w:tcPr>
          <w:p w14:paraId="06DF0F07" w14:textId="77777777" w:rsidR="007B01BB" w:rsidRDefault="00000000">
            <w:pPr>
              <w:spacing w:after="0"/>
              <w:jc w:val="center"/>
            </w:pPr>
            <w:r>
              <w:rPr>
                <w:color w:val="20252B"/>
                <w:sz w:val="18"/>
              </w:rPr>
              <w:t>[29.29, 30.23]</w:t>
            </w:r>
          </w:p>
        </w:tc>
      </w:tr>
      <w:tr w:rsidR="007B01BB" w14:paraId="7D78DCA1" w14:textId="77777777">
        <w:trPr>
          <w:jc w:val="center"/>
        </w:trPr>
        <w:tc>
          <w:tcPr>
            <w:tcW w:w="1200" w:type="dxa"/>
            <w:vAlign w:val="center"/>
          </w:tcPr>
          <w:p w14:paraId="3DC2187D" w14:textId="77777777" w:rsidR="007B01BB" w:rsidRDefault="00000000">
            <w:pPr>
              <w:spacing w:after="0"/>
              <w:jc w:val="center"/>
            </w:pPr>
            <w:r>
              <w:rPr>
                <w:color w:val="20252B"/>
                <w:sz w:val="18"/>
              </w:rPr>
              <w:t>3</w:t>
            </w:r>
          </w:p>
        </w:tc>
        <w:tc>
          <w:tcPr>
            <w:tcW w:w="1900" w:type="dxa"/>
            <w:vAlign w:val="center"/>
          </w:tcPr>
          <w:p w14:paraId="5A324CCC" w14:textId="77777777" w:rsidR="007B01BB" w:rsidRDefault="00000000">
            <w:pPr>
              <w:spacing w:after="0"/>
              <w:jc w:val="center"/>
            </w:pPr>
            <w:r>
              <w:rPr>
                <w:color w:val="20252B"/>
                <w:sz w:val="18"/>
              </w:rPr>
              <w:t>31.03</w:t>
            </w:r>
          </w:p>
        </w:tc>
        <w:tc>
          <w:tcPr>
            <w:tcW w:w="2800" w:type="dxa"/>
            <w:vAlign w:val="center"/>
          </w:tcPr>
          <w:p w14:paraId="56B922B2" w14:textId="77777777" w:rsidR="007B01BB" w:rsidRDefault="00000000">
            <w:pPr>
              <w:spacing w:after="0"/>
              <w:jc w:val="center"/>
            </w:pPr>
            <w:r>
              <w:rPr>
                <w:color w:val="20252B"/>
                <w:sz w:val="18"/>
              </w:rPr>
              <w:t>30.98</w:t>
            </w:r>
          </w:p>
        </w:tc>
        <w:tc>
          <w:tcPr>
            <w:tcW w:w="3460" w:type="dxa"/>
            <w:vAlign w:val="center"/>
          </w:tcPr>
          <w:p w14:paraId="1774F8C8" w14:textId="77777777" w:rsidR="007B01BB" w:rsidRDefault="00000000">
            <w:pPr>
              <w:spacing w:after="0"/>
              <w:jc w:val="center"/>
            </w:pPr>
            <w:r>
              <w:rPr>
                <w:color w:val="20252B"/>
                <w:sz w:val="18"/>
              </w:rPr>
              <w:t>[30.86, 31.07]</w:t>
            </w:r>
          </w:p>
        </w:tc>
      </w:tr>
      <w:tr w:rsidR="007B01BB" w14:paraId="253A4718" w14:textId="77777777">
        <w:trPr>
          <w:jc w:val="center"/>
        </w:trPr>
        <w:tc>
          <w:tcPr>
            <w:tcW w:w="1200" w:type="dxa"/>
            <w:vAlign w:val="center"/>
          </w:tcPr>
          <w:p w14:paraId="20B513BC" w14:textId="77777777" w:rsidR="007B01BB" w:rsidRDefault="00000000">
            <w:pPr>
              <w:spacing w:after="0"/>
              <w:jc w:val="center"/>
            </w:pPr>
            <w:r>
              <w:rPr>
                <w:color w:val="20252B"/>
                <w:sz w:val="18"/>
              </w:rPr>
              <w:t>4</w:t>
            </w:r>
          </w:p>
        </w:tc>
        <w:tc>
          <w:tcPr>
            <w:tcW w:w="1900" w:type="dxa"/>
            <w:vAlign w:val="center"/>
          </w:tcPr>
          <w:p w14:paraId="5DC2E7E4" w14:textId="77777777" w:rsidR="007B01BB" w:rsidRDefault="00000000">
            <w:pPr>
              <w:spacing w:after="0"/>
              <w:jc w:val="center"/>
            </w:pPr>
            <w:r>
              <w:rPr>
                <w:color w:val="20252B"/>
                <w:sz w:val="18"/>
              </w:rPr>
              <w:t>32.09</w:t>
            </w:r>
          </w:p>
        </w:tc>
        <w:tc>
          <w:tcPr>
            <w:tcW w:w="2800" w:type="dxa"/>
            <w:vAlign w:val="center"/>
          </w:tcPr>
          <w:p w14:paraId="1946F271" w14:textId="77777777" w:rsidR="007B01BB" w:rsidRDefault="00000000">
            <w:pPr>
              <w:spacing w:after="0"/>
              <w:jc w:val="center"/>
            </w:pPr>
            <w:r>
              <w:rPr>
                <w:color w:val="20252B"/>
                <w:sz w:val="18"/>
              </w:rPr>
              <w:t>32.09</w:t>
            </w:r>
          </w:p>
        </w:tc>
        <w:tc>
          <w:tcPr>
            <w:tcW w:w="3460" w:type="dxa"/>
            <w:vAlign w:val="center"/>
          </w:tcPr>
          <w:p w14:paraId="51CFA002" w14:textId="77777777" w:rsidR="007B01BB" w:rsidRDefault="00000000">
            <w:pPr>
              <w:spacing w:after="0"/>
              <w:jc w:val="center"/>
            </w:pPr>
            <w:r>
              <w:rPr>
                <w:color w:val="20252B"/>
                <w:sz w:val="18"/>
              </w:rPr>
              <w:t>[31.95, 32.24]</w:t>
            </w:r>
          </w:p>
        </w:tc>
      </w:tr>
    </w:tbl>
    <w:p w14:paraId="47C61971" w14:textId="77777777" w:rsidR="007B01BB" w:rsidRDefault="007B01BB">
      <w:pPr>
        <w:spacing w:after="20"/>
      </w:pPr>
    </w:p>
    <w:p w14:paraId="15CAE6F6" w14:textId="77777777" w:rsidR="007B01BB" w:rsidRDefault="00000000">
      <w:pPr>
        <w:spacing w:before="40" w:after="140"/>
        <w:jc w:val="center"/>
      </w:pPr>
      <w:r>
        <w:rPr>
          <w:color w:val="66727E"/>
          <w:sz w:val="19"/>
        </w:rPr>
        <w:t>表3  300次Bootstrap下BMI切点稳定性</w:t>
      </w:r>
    </w:p>
    <w:p w14:paraId="240B15DB" w14:textId="77777777" w:rsidR="007B01BB" w:rsidRDefault="00000000">
      <w:pPr>
        <w:ind w:firstLine="420"/>
        <w:jc w:val="both"/>
        <w:rPr>
          <w:lang w:eastAsia="zh-CN"/>
        </w:rPr>
      </w:pPr>
      <w:r>
        <w:rPr>
          <w:color w:val="20252B"/>
          <w:lang w:eastAsia="zh-CN"/>
        </w:rPr>
        <w:lastRenderedPageBreak/>
        <w:t>第三、第四切点区间较窄，稳定性较好；第一、第二切点存在一定漂移，但总体仍集中在28.5～30.2附近。由于前两组样本仅25人和31人，论文中保留两位小数用于复现，实际应用时宜按0.5 BMI单位进行近似解释。</w:t>
      </w:r>
    </w:p>
    <w:p w14:paraId="585225A9" w14:textId="77777777" w:rsidR="007B01BB" w:rsidRDefault="00000000">
      <w:pPr>
        <w:pStyle w:val="21"/>
        <w:rPr>
          <w:lang w:eastAsia="zh-CN"/>
        </w:rPr>
      </w:pPr>
      <w:r>
        <w:rPr>
          <w:lang w:eastAsia="zh-CN"/>
        </w:rPr>
        <w:t>7.2 Y</w:t>
      </w:r>
      <w:r>
        <w:rPr>
          <w:lang w:eastAsia="zh-CN"/>
        </w:rPr>
        <w:t>染色体浓度测量误差</w:t>
      </w:r>
    </w:p>
    <w:p w14:paraId="627B9996" w14:textId="77777777" w:rsidR="007B01BB" w:rsidRDefault="00000000">
      <w:pPr>
        <w:ind w:firstLine="420"/>
        <w:jc w:val="both"/>
        <w:rPr>
          <w:lang w:eastAsia="zh-CN"/>
        </w:rPr>
      </w:pPr>
      <w:r>
        <w:rPr>
          <w:color w:val="20252B"/>
          <w:lang w:eastAsia="zh-CN"/>
        </w:rPr>
        <w:t>对19组同次采血重复测序，设两次测量差为</w:t>
      </w:r>
      <w:r>
        <w:rPr>
          <w:color w:val="20252B"/>
        </w:rPr>
        <w:t>Δ</w:t>
      </w:r>
      <w:r>
        <w:rPr>
          <w:color w:val="20252B"/>
          <w:lang w:eastAsia="zh-CN"/>
        </w:rPr>
        <w:t>。若单次测量误差独立同分布，则Var(</w:t>
      </w:r>
      <w:r>
        <w:rPr>
          <w:color w:val="20252B"/>
        </w:rPr>
        <w:t>Δ</w:t>
      </w:r>
      <w:r>
        <w:rPr>
          <w:color w:val="20252B"/>
          <w:lang w:eastAsia="zh-CN"/>
        </w:rPr>
        <w:t>)=2</w:t>
      </w:r>
      <w:r>
        <w:rPr>
          <w:color w:val="20252B"/>
        </w:rPr>
        <w:t>σ</w:t>
      </w:r>
      <w:r>
        <w:rPr>
          <w:color w:val="20252B"/>
          <w:lang w:eastAsia="zh-CN"/>
        </w:rPr>
        <w:t>²，据此估计单次Y浓度误差标准差</w:t>
      </w:r>
      <w:r>
        <w:rPr>
          <w:color w:val="20252B"/>
        </w:rPr>
        <w:t>σ</w:t>
      </w:r>
      <w:r>
        <w:rPr>
          <w:color w:val="20252B"/>
          <w:lang w:eastAsia="zh-CN"/>
        </w:rPr>
        <w:t>=0.004711，即0.471个百分点。随后对每条Y浓度加入N(0,</w:t>
      </w:r>
      <w:r>
        <w:rPr>
          <w:color w:val="20252B"/>
        </w:rPr>
        <w:t>σ</w:t>
      </w:r>
      <w:r>
        <w:rPr>
          <w:color w:val="20252B"/>
          <w:lang w:eastAsia="zh-CN"/>
        </w:rPr>
        <w:t>²)扰动，重复200次重新判定4%阈值、拟合模型并计算推荐时点。</w:t>
      </w:r>
    </w:p>
    <w:tbl>
      <w:tblPr>
        <w:tblStyle w:val="aff1"/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1200"/>
        <w:gridCol w:w="2100"/>
        <w:gridCol w:w="2500"/>
        <w:gridCol w:w="3560"/>
      </w:tblGrid>
      <w:tr w:rsidR="007B01BB" w14:paraId="12054E5B" w14:textId="77777777">
        <w:trPr>
          <w:tblHeader/>
          <w:jc w:val="center"/>
        </w:trPr>
        <w:tc>
          <w:tcPr>
            <w:tcW w:w="1200" w:type="dxa"/>
            <w:shd w:val="clear" w:color="auto" w:fill="D9EA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BFFD7D" w14:textId="77777777" w:rsidR="007B01BB" w:rsidRDefault="00000000">
            <w:pPr>
              <w:spacing w:after="0"/>
              <w:jc w:val="center"/>
            </w:pPr>
            <w:proofErr w:type="spellStart"/>
            <w:r>
              <w:rPr>
                <w:b/>
                <w:color w:val="17365D"/>
                <w:sz w:val="18"/>
              </w:rPr>
              <w:t>组别</w:t>
            </w:r>
            <w:proofErr w:type="spellEnd"/>
          </w:p>
        </w:tc>
        <w:tc>
          <w:tcPr>
            <w:tcW w:w="2100" w:type="dxa"/>
            <w:shd w:val="clear" w:color="auto" w:fill="D9EA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6C70C2" w14:textId="77777777" w:rsidR="007B01BB" w:rsidRDefault="00000000">
            <w:pPr>
              <w:spacing w:after="0"/>
              <w:jc w:val="center"/>
            </w:pPr>
            <w:r>
              <w:rPr>
                <w:b/>
                <w:color w:val="17365D"/>
                <w:sz w:val="18"/>
              </w:rPr>
              <w:t>原始推荐</w:t>
            </w:r>
          </w:p>
        </w:tc>
        <w:tc>
          <w:tcPr>
            <w:tcW w:w="2500" w:type="dxa"/>
            <w:shd w:val="clear" w:color="auto" w:fill="D9EA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2EC633" w14:textId="77777777" w:rsidR="007B01BB" w:rsidRDefault="00000000">
            <w:pPr>
              <w:spacing w:after="0"/>
              <w:jc w:val="center"/>
            </w:pPr>
            <w:r>
              <w:rPr>
                <w:b/>
                <w:color w:val="17365D"/>
                <w:sz w:val="18"/>
              </w:rPr>
              <w:t>扰动中位数</w:t>
            </w:r>
          </w:p>
        </w:tc>
        <w:tc>
          <w:tcPr>
            <w:tcW w:w="3560" w:type="dxa"/>
            <w:shd w:val="clear" w:color="auto" w:fill="D9EA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7678CE" w14:textId="77777777" w:rsidR="007B01BB" w:rsidRDefault="00000000">
            <w:pPr>
              <w:spacing w:after="0"/>
              <w:jc w:val="center"/>
            </w:pPr>
            <w:r>
              <w:rPr>
                <w:b/>
                <w:color w:val="17365D"/>
                <w:sz w:val="18"/>
              </w:rPr>
              <w:t>95%扰动区间</w:t>
            </w:r>
          </w:p>
        </w:tc>
      </w:tr>
      <w:tr w:rsidR="007B01BB" w14:paraId="71BA9710" w14:textId="77777777">
        <w:trPr>
          <w:jc w:val="center"/>
        </w:trPr>
        <w:tc>
          <w:tcPr>
            <w:tcW w:w="1200" w:type="dxa"/>
            <w:vAlign w:val="center"/>
          </w:tcPr>
          <w:p w14:paraId="709BB287" w14:textId="77777777" w:rsidR="007B01BB" w:rsidRDefault="00000000">
            <w:pPr>
              <w:spacing w:after="0"/>
              <w:jc w:val="center"/>
            </w:pPr>
            <w:r>
              <w:rPr>
                <w:color w:val="20252B"/>
                <w:sz w:val="18"/>
              </w:rPr>
              <w:t>1</w:t>
            </w:r>
          </w:p>
        </w:tc>
        <w:tc>
          <w:tcPr>
            <w:tcW w:w="2100" w:type="dxa"/>
            <w:vAlign w:val="center"/>
          </w:tcPr>
          <w:p w14:paraId="201CCB19" w14:textId="77777777" w:rsidR="007B01BB" w:rsidRDefault="00000000">
            <w:pPr>
              <w:spacing w:after="0"/>
              <w:jc w:val="center"/>
            </w:pPr>
            <w:r>
              <w:rPr>
                <w:color w:val="20252B"/>
                <w:sz w:val="18"/>
              </w:rPr>
              <w:t>10.5周</w:t>
            </w:r>
          </w:p>
        </w:tc>
        <w:tc>
          <w:tcPr>
            <w:tcW w:w="2500" w:type="dxa"/>
            <w:vAlign w:val="center"/>
          </w:tcPr>
          <w:p w14:paraId="0BA840B2" w14:textId="77777777" w:rsidR="007B01BB" w:rsidRDefault="00000000">
            <w:pPr>
              <w:spacing w:after="0"/>
              <w:jc w:val="center"/>
            </w:pPr>
            <w:r>
              <w:rPr>
                <w:color w:val="20252B"/>
                <w:sz w:val="18"/>
              </w:rPr>
              <w:t>12.0周</w:t>
            </w:r>
          </w:p>
        </w:tc>
        <w:tc>
          <w:tcPr>
            <w:tcW w:w="3560" w:type="dxa"/>
            <w:vAlign w:val="center"/>
          </w:tcPr>
          <w:p w14:paraId="50C6B27F" w14:textId="77777777" w:rsidR="007B01BB" w:rsidRDefault="00000000">
            <w:pPr>
              <w:spacing w:after="0"/>
              <w:jc w:val="center"/>
            </w:pPr>
            <w:r>
              <w:rPr>
                <w:color w:val="20252B"/>
                <w:sz w:val="18"/>
              </w:rPr>
              <w:t>[10.0, 17.0]</w:t>
            </w:r>
          </w:p>
        </w:tc>
      </w:tr>
      <w:tr w:rsidR="007B01BB" w14:paraId="1EE5D19B" w14:textId="77777777">
        <w:trPr>
          <w:jc w:val="center"/>
        </w:trPr>
        <w:tc>
          <w:tcPr>
            <w:tcW w:w="1200" w:type="dxa"/>
            <w:vAlign w:val="center"/>
          </w:tcPr>
          <w:p w14:paraId="1E42345B" w14:textId="77777777" w:rsidR="007B01BB" w:rsidRDefault="00000000">
            <w:pPr>
              <w:spacing w:after="0"/>
              <w:jc w:val="center"/>
            </w:pPr>
            <w:r>
              <w:rPr>
                <w:color w:val="20252B"/>
                <w:sz w:val="18"/>
              </w:rPr>
              <w:t>2</w:t>
            </w:r>
          </w:p>
        </w:tc>
        <w:tc>
          <w:tcPr>
            <w:tcW w:w="2100" w:type="dxa"/>
            <w:vAlign w:val="center"/>
          </w:tcPr>
          <w:p w14:paraId="6CDF3DFB" w14:textId="77777777" w:rsidR="007B01BB" w:rsidRDefault="00000000">
            <w:pPr>
              <w:spacing w:after="0"/>
              <w:jc w:val="center"/>
            </w:pPr>
            <w:r>
              <w:rPr>
                <w:color w:val="20252B"/>
                <w:sz w:val="18"/>
              </w:rPr>
              <w:t>14.0周</w:t>
            </w:r>
          </w:p>
        </w:tc>
        <w:tc>
          <w:tcPr>
            <w:tcW w:w="2500" w:type="dxa"/>
            <w:vAlign w:val="center"/>
          </w:tcPr>
          <w:p w14:paraId="4B59A57E" w14:textId="77777777" w:rsidR="007B01BB" w:rsidRDefault="00000000">
            <w:pPr>
              <w:spacing w:after="0"/>
              <w:jc w:val="center"/>
            </w:pPr>
            <w:r>
              <w:rPr>
                <w:color w:val="20252B"/>
                <w:sz w:val="18"/>
              </w:rPr>
              <w:t>16.0周</w:t>
            </w:r>
          </w:p>
        </w:tc>
        <w:tc>
          <w:tcPr>
            <w:tcW w:w="3560" w:type="dxa"/>
            <w:vAlign w:val="center"/>
          </w:tcPr>
          <w:p w14:paraId="492EAE69" w14:textId="77777777" w:rsidR="007B01BB" w:rsidRDefault="00000000">
            <w:pPr>
              <w:spacing w:after="0"/>
              <w:jc w:val="center"/>
            </w:pPr>
            <w:r>
              <w:rPr>
                <w:color w:val="20252B"/>
                <w:sz w:val="18"/>
              </w:rPr>
              <w:t>[10.5, 20.0]</w:t>
            </w:r>
          </w:p>
        </w:tc>
      </w:tr>
      <w:tr w:rsidR="007B01BB" w14:paraId="1124774A" w14:textId="77777777">
        <w:trPr>
          <w:jc w:val="center"/>
        </w:trPr>
        <w:tc>
          <w:tcPr>
            <w:tcW w:w="1200" w:type="dxa"/>
            <w:vAlign w:val="center"/>
          </w:tcPr>
          <w:p w14:paraId="71A6EA84" w14:textId="77777777" w:rsidR="007B01BB" w:rsidRDefault="00000000">
            <w:pPr>
              <w:spacing w:after="0"/>
              <w:jc w:val="center"/>
            </w:pPr>
            <w:r>
              <w:rPr>
                <w:color w:val="20252B"/>
                <w:sz w:val="18"/>
              </w:rPr>
              <w:t>3</w:t>
            </w:r>
          </w:p>
        </w:tc>
        <w:tc>
          <w:tcPr>
            <w:tcW w:w="2100" w:type="dxa"/>
            <w:vAlign w:val="center"/>
          </w:tcPr>
          <w:p w14:paraId="2B7FC789" w14:textId="77777777" w:rsidR="007B01BB" w:rsidRDefault="00000000">
            <w:pPr>
              <w:spacing w:after="0"/>
              <w:jc w:val="center"/>
            </w:pPr>
            <w:r>
              <w:rPr>
                <w:color w:val="20252B"/>
                <w:sz w:val="18"/>
              </w:rPr>
              <w:t>17.5周</w:t>
            </w:r>
          </w:p>
        </w:tc>
        <w:tc>
          <w:tcPr>
            <w:tcW w:w="2500" w:type="dxa"/>
            <w:vAlign w:val="center"/>
          </w:tcPr>
          <w:p w14:paraId="601696BA" w14:textId="77777777" w:rsidR="007B01BB" w:rsidRDefault="00000000">
            <w:pPr>
              <w:spacing w:after="0"/>
              <w:jc w:val="center"/>
            </w:pPr>
            <w:r>
              <w:rPr>
                <w:color w:val="20252B"/>
                <w:sz w:val="18"/>
              </w:rPr>
              <w:t>19.5周</w:t>
            </w:r>
          </w:p>
        </w:tc>
        <w:tc>
          <w:tcPr>
            <w:tcW w:w="3560" w:type="dxa"/>
            <w:vAlign w:val="center"/>
          </w:tcPr>
          <w:p w14:paraId="5DA1541B" w14:textId="77777777" w:rsidR="007B01BB" w:rsidRDefault="00000000">
            <w:pPr>
              <w:spacing w:after="0"/>
              <w:jc w:val="center"/>
            </w:pPr>
            <w:r>
              <w:rPr>
                <w:color w:val="20252B"/>
                <w:sz w:val="18"/>
              </w:rPr>
              <w:t>[16.0, 23.5]</w:t>
            </w:r>
          </w:p>
        </w:tc>
      </w:tr>
      <w:tr w:rsidR="007B01BB" w14:paraId="672F3CA8" w14:textId="77777777">
        <w:trPr>
          <w:jc w:val="center"/>
        </w:trPr>
        <w:tc>
          <w:tcPr>
            <w:tcW w:w="1200" w:type="dxa"/>
            <w:vAlign w:val="center"/>
          </w:tcPr>
          <w:p w14:paraId="3F00FF71" w14:textId="77777777" w:rsidR="007B01BB" w:rsidRDefault="00000000">
            <w:pPr>
              <w:spacing w:after="0"/>
              <w:jc w:val="center"/>
            </w:pPr>
            <w:r>
              <w:rPr>
                <w:color w:val="20252B"/>
                <w:sz w:val="18"/>
              </w:rPr>
              <w:t>4</w:t>
            </w:r>
          </w:p>
        </w:tc>
        <w:tc>
          <w:tcPr>
            <w:tcW w:w="2100" w:type="dxa"/>
            <w:vAlign w:val="center"/>
          </w:tcPr>
          <w:p w14:paraId="24545650" w14:textId="77777777" w:rsidR="007B01BB" w:rsidRDefault="00000000">
            <w:pPr>
              <w:spacing w:after="0"/>
              <w:jc w:val="center"/>
            </w:pPr>
            <w:r>
              <w:rPr>
                <w:color w:val="20252B"/>
                <w:sz w:val="18"/>
              </w:rPr>
              <w:t>22.0周</w:t>
            </w:r>
          </w:p>
        </w:tc>
        <w:tc>
          <w:tcPr>
            <w:tcW w:w="2500" w:type="dxa"/>
            <w:vAlign w:val="center"/>
          </w:tcPr>
          <w:p w14:paraId="528000BF" w14:textId="77777777" w:rsidR="007B01BB" w:rsidRDefault="00000000">
            <w:pPr>
              <w:spacing w:after="0"/>
              <w:jc w:val="center"/>
            </w:pPr>
            <w:r>
              <w:rPr>
                <w:color w:val="20252B"/>
                <w:sz w:val="18"/>
              </w:rPr>
              <w:t>22.0周</w:t>
            </w:r>
          </w:p>
        </w:tc>
        <w:tc>
          <w:tcPr>
            <w:tcW w:w="3560" w:type="dxa"/>
            <w:vAlign w:val="center"/>
          </w:tcPr>
          <w:p w14:paraId="13A97662" w14:textId="77777777" w:rsidR="007B01BB" w:rsidRDefault="00000000">
            <w:pPr>
              <w:spacing w:after="0"/>
              <w:jc w:val="center"/>
            </w:pPr>
            <w:r>
              <w:rPr>
                <w:color w:val="20252B"/>
                <w:sz w:val="18"/>
              </w:rPr>
              <w:t>[10.0, 25.0]</w:t>
            </w:r>
          </w:p>
        </w:tc>
      </w:tr>
      <w:tr w:rsidR="007B01BB" w14:paraId="37EC790B" w14:textId="77777777">
        <w:trPr>
          <w:jc w:val="center"/>
        </w:trPr>
        <w:tc>
          <w:tcPr>
            <w:tcW w:w="1200" w:type="dxa"/>
            <w:vAlign w:val="center"/>
          </w:tcPr>
          <w:p w14:paraId="1A36D592" w14:textId="77777777" w:rsidR="007B01BB" w:rsidRDefault="00000000">
            <w:pPr>
              <w:spacing w:after="0"/>
              <w:jc w:val="center"/>
            </w:pPr>
            <w:r>
              <w:rPr>
                <w:color w:val="20252B"/>
                <w:sz w:val="18"/>
              </w:rPr>
              <w:t>5</w:t>
            </w:r>
          </w:p>
        </w:tc>
        <w:tc>
          <w:tcPr>
            <w:tcW w:w="2100" w:type="dxa"/>
            <w:vAlign w:val="center"/>
          </w:tcPr>
          <w:p w14:paraId="44AC0207" w14:textId="77777777" w:rsidR="007B01BB" w:rsidRDefault="00000000">
            <w:pPr>
              <w:spacing w:after="0"/>
              <w:jc w:val="center"/>
            </w:pPr>
            <w:r>
              <w:rPr>
                <w:color w:val="20252B"/>
                <w:sz w:val="18"/>
              </w:rPr>
              <w:t>21.0周</w:t>
            </w:r>
          </w:p>
        </w:tc>
        <w:tc>
          <w:tcPr>
            <w:tcW w:w="2500" w:type="dxa"/>
            <w:vAlign w:val="center"/>
          </w:tcPr>
          <w:p w14:paraId="15D6A508" w14:textId="77777777" w:rsidR="007B01BB" w:rsidRDefault="00000000">
            <w:pPr>
              <w:spacing w:after="0"/>
              <w:jc w:val="center"/>
            </w:pPr>
            <w:r>
              <w:rPr>
                <w:color w:val="20252B"/>
                <w:sz w:val="18"/>
              </w:rPr>
              <w:t>21.5周</w:t>
            </w:r>
          </w:p>
        </w:tc>
        <w:tc>
          <w:tcPr>
            <w:tcW w:w="3560" w:type="dxa"/>
            <w:vAlign w:val="center"/>
          </w:tcPr>
          <w:p w14:paraId="6685D941" w14:textId="77777777" w:rsidR="007B01BB" w:rsidRDefault="00000000">
            <w:pPr>
              <w:spacing w:after="0"/>
              <w:jc w:val="center"/>
            </w:pPr>
            <w:r>
              <w:rPr>
                <w:color w:val="20252B"/>
                <w:sz w:val="18"/>
              </w:rPr>
              <w:t>[19.0, 25.0]</w:t>
            </w:r>
          </w:p>
        </w:tc>
      </w:tr>
    </w:tbl>
    <w:p w14:paraId="05EC5A17" w14:textId="77777777" w:rsidR="007B01BB" w:rsidRDefault="007B01BB">
      <w:pPr>
        <w:spacing w:after="20"/>
      </w:pPr>
    </w:p>
    <w:p w14:paraId="5748D595" w14:textId="77777777" w:rsidR="007B01BB" w:rsidRDefault="00000000">
      <w:pPr>
        <w:spacing w:before="40" w:after="140"/>
        <w:jc w:val="center"/>
        <w:rPr>
          <w:lang w:eastAsia="zh-CN"/>
        </w:rPr>
      </w:pPr>
      <w:r>
        <w:rPr>
          <w:color w:val="66727E"/>
          <w:sz w:val="19"/>
          <w:lang w:eastAsia="zh-CN"/>
        </w:rPr>
        <w:t>表4  200次测量误差扰动下推荐时点稳定性</w:t>
      </w:r>
    </w:p>
    <w:p w14:paraId="20369BEF" w14:textId="77777777" w:rsidR="007B01BB" w:rsidRDefault="00000000">
      <w:pPr>
        <w:keepNext/>
        <w:spacing w:before="80" w:after="20"/>
        <w:jc w:val="center"/>
      </w:pPr>
      <w:r>
        <w:rPr>
          <w:noProof/>
        </w:rPr>
        <w:drawing>
          <wp:inline distT="0" distB="0" distL="0" distR="0" wp14:anchorId="62877A64" wp14:editId="026F28C5">
            <wp:extent cx="5715000" cy="3662589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第二问_检测误差敏感性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6625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08DB64" w14:textId="77777777" w:rsidR="007B01BB" w:rsidRDefault="00000000">
      <w:pPr>
        <w:spacing w:before="40" w:after="140"/>
        <w:jc w:val="center"/>
        <w:rPr>
          <w:lang w:eastAsia="zh-CN"/>
        </w:rPr>
      </w:pPr>
      <w:r>
        <w:rPr>
          <w:color w:val="66727E"/>
          <w:sz w:val="19"/>
          <w:lang w:eastAsia="zh-CN"/>
        </w:rPr>
        <w:t>图5  检测误差对各组推荐时点的影响</w:t>
      </w:r>
    </w:p>
    <w:p w14:paraId="70D574AD" w14:textId="77777777" w:rsidR="007B01BB" w:rsidRDefault="00000000">
      <w:pPr>
        <w:ind w:firstLine="420"/>
        <w:jc w:val="both"/>
        <w:rPr>
          <w:lang w:eastAsia="zh-CN"/>
        </w:rPr>
      </w:pPr>
      <w:r>
        <w:rPr>
          <w:color w:val="20252B"/>
          <w:lang w:eastAsia="zh-CN"/>
        </w:rPr>
        <w:lastRenderedPageBreak/>
        <w:t>误差扰动平均使3.26%的检测记录跨越4%阈值。第五组推荐时点中位数为21.5周，方向较稳定；中间BMI组的区间相对较宽，说明阈值附近的测量误差会影响推荐时点。因此建议把表2时点理解为群体层面的基准时点，并在临界BMI或临界Y浓度样本中设置复测。</w:t>
      </w:r>
    </w:p>
    <w:p w14:paraId="47E9F986" w14:textId="77777777" w:rsidR="007B01BB" w:rsidRDefault="00000000">
      <w:pPr>
        <w:pStyle w:val="1"/>
        <w:rPr>
          <w:lang w:eastAsia="zh-CN"/>
        </w:rPr>
      </w:pPr>
      <w:r>
        <w:rPr>
          <w:lang w:eastAsia="zh-CN"/>
        </w:rPr>
        <w:t xml:space="preserve">8  </w:t>
      </w:r>
      <w:r>
        <w:rPr>
          <w:lang w:eastAsia="zh-CN"/>
        </w:rPr>
        <w:t>模型评价</w:t>
      </w:r>
    </w:p>
    <w:p w14:paraId="76165A13" w14:textId="77777777" w:rsidR="007B01BB" w:rsidRDefault="00000000">
      <w:pPr>
        <w:pStyle w:val="21"/>
        <w:rPr>
          <w:lang w:eastAsia="zh-CN"/>
        </w:rPr>
      </w:pPr>
      <w:r>
        <w:rPr>
          <w:lang w:eastAsia="zh-CN"/>
        </w:rPr>
        <w:t xml:space="preserve">8.1 </w:t>
      </w:r>
      <w:r>
        <w:rPr>
          <w:lang w:eastAsia="zh-CN"/>
        </w:rPr>
        <w:t>优点</w:t>
      </w:r>
    </w:p>
    <w:p w14:paraId="528A8748" w14:textId="77777777" w:rsidR="007B01BB" w:rsidRDefault="00000000">
      <w:pPr>
        <w:ind w:firstLine="420"/>
        <w:jc w:val="both"/>
        <w:rPr>
          <w:lang w:eastAsia="zh-CN"/>
        </w:rPr>
      </w:pPr>
      <w:r>
        <w:rPr>
          <w:color w:val="20252B"/>
          <w:lang w:eastAsia="zh-CN"/>
        </w:rPr>
        <w:t>第一，模型利用全部1063次纵向检测而非仅使用不精确的首次达标时间，减少删失与采样计划造成的信息损失。第二，按孕妇分组的交叉验证避免同一孕妇记录泄漏，使验证结果更可信。第三，一标准误差规则、最小叶节点约束和Bootstrap共同控制模型复杂度。第四，可靠性约束下的最早时点直接对应“准确且尽早”的临床目标，第五组采用提前检测与复测策略而非盲目延迟。</w:t>
      </w:r>
    </w:p>
    <w:p w14:paraId="2774C314" w14:textId="77777777" w:rsidR="007B01BB" w:rsidRDefault="00000000">
      <w:pPr>
        <w:pStyle w:val="21"/>
        <w:rPr>
          <w:lang w:eastAsia="zh-CN"/>
        </w:rPr>
      </w:pPr>
      <w:r>
        <w:rPr>
          <w:lang w:eastAsia="zh-CN"/>
        </w:rPr>
        <w:t xml:space="preserve">8.2 </w:t>
      </w:r>
      <w:r>
        <w:rPr>
          <w:lang w:eastAsia="zh-CN"/>
        </w:rPr>
        <w:t>局限性</w:t>
      </w:r>
    </w:p>
    <w:p w14:paraId="456C9BA6" w14:textId="77777777" w:rsidR="007B01BB" w:rsidRDefault="00000000">
      <w:pPr>
        <w:ind w:firstLine="420"/>
        <w:jc w:val="both"/>
        <w:rPr>
          <w:lang w:eastAsia="zh-CN"/>
        </w:rPr>
      </w:pPr>
      <w:r>
        <w:rPr>
          <w:color w:val="20252B"/>
          <w:lang w:eastAsia="zh-CN"/>
        </w:rPr>
        <w:t>本数据以高BMI孕妇为主，BMI小于28.71的样本仅25人，低BMI区间外推能力有限。最终模型AUC为0.5804，说明BMI和孕周只能提供有限的个体区分信息；年龄、身高、体重和测序质量指标应在问题三中进一步纳入。测量误差敏感性区间较宽，也表明推荐孕周不宜被解释为精确到天的固定规则。</w:t>
      </w:r>
    </w:p>
    <w:p w14:paraId="729C10C9" w14:textId="77777777" w:rsidR="007B01BB" w:rsidRDefault="00000000">
      <w:pPr>
        <w:pStyle w:val="1"/>
        <w:rPr>
          <w:lang w:eastAsia="zh-CN"/>
        </w:rPr>
      </w:pPr>
      <w:r>
        <w:rPr>
          <w:lang w:eastAsia="zh-CN"/>
        </w:rPr>
        <w:t xml:space="preserve">9  </w:t>
      </w:r>
      <w:r>
        <w:rPr>
          <w:lang w:eastAsia="zh-CN"/>
        </w:rPr>
        <w:t>结论</w:t>
      </w:r>
    </w:p>
    <w:p w14:paraId="683CD4EB" w14:textId="77777777" w:rsidR="007B01BB" w:rsidRDefault="00000000">
      <w:pPr>
        <w:ind w:firstLine="420"/>
        <w:jc w:val="both"/>
        <w:rPr>
          <w:lang w:eastAsia="zh-CN"/>
        </w:rPr>
      </w:pPr>
      <w:r>
        <w:rPr>
          <w:color w:val="20252B"/>
          <w:lang w:eastAsia="zh-CN"/>
        </w:rPr>
        <w:t>本文建立了“纵向达标概率—可靠性约束反演—CART分组—误差扰动验证”的完整框架。最终将男胎孕妇按BMI划分为5组：BMI&lt;28.71、[28.71,29.47)、[29.47,31.03)、[31.03,32.09)和BMI≥32.09。推荐初次NIPT时点依次为10.5、14.0、17.5、22.0和21.0周，其中最高BMI组采用85%可行阈值并配合复测。该方案兼顾数据驱动的分组差异、检测可靠性和治疗窗口风险，同时明确保留模型不确定性。</w:t>
      </w:r>
    </w:p>
    <w:p w14:paraId="00C13CC7" w14:textId="77777777" w:rsidR="007B01BB" w:rsidRDefault="00000000">
      <w:pPr>
        <w:pStyle w:val="1"/>
        <w:rPr>
          <w:lang w:eastAsia="zh-CN"/>
        </w:rPr>
      </w:pPr>
      <w:r>
        <w:rPr>
          <w:lang w:eastAsia="zh-CN"/>
        </w:rPr>
        <w:t>参考文献</w:t>
      </w:r>
    </w:p>
    <w:p w14:paraId="10454602" w14:textId="3FCD437C" w:rsidR="007B01BB" w:rsidRDefault="007B01BB" w:rsidP="005878E6">
      <w:pPr>
        <w:spacing w:after="80"/>
        <w:rPr>
          <w:rFonts w:hint="eastAsia"/>
          <w:lang w:eastAsia="zh-CN"/>
        </w:rPr>
      </w:pPr>
    </w:p>
    <w:p w14:paraId="4C9B788B" w14:textId="77777777" w:rsidR="007B01BB" w:rsidRDefault="00000000">
      <w:pPr>
        <w:spacing w:after="80"/>
        <w:ind w:left="420" w:hanging="420"/>
      </w:pPr>
      <w:r>
        <w:rPr>
          <w:color w:val="20252B"/>
          <w:sz w:val="19"/>
        </w:rPr>
        <w:t xml:space="preserve">[2] </w:t>
      </w:r>
      <w:proofErr w:type="spellStart"/>
      <w:r>
        <w:rPr>
          <w:color w:val="20252B"/>
          <w:sz w:val="19"/>
        </w:rPr>
        <w:t>Breiman</w:t>
      </w:r>
      <w:proofErr w:type="spellEnd"/>
      <w:r>
        <w:rPr>
          <w:color w:val="20252B"/>
          <w:sz w:val="19"/>
        </w:rPr>
        <w:t xml:space="preserve"> L, Friedman J H, Olshen R A, Stone C J. Classification and Regression Trees. Wadsworth, 1984.</w:t>
      </w:r>
    </w:p>
    <w:p w14:paraId="036C4C39" w14:textId="77777777" w:rsidR="007B01BB" w:rsidRDefault="00000000">
      <w:pPr>
        <w:spacing w:after="80"/>
        <w:ind w:left="420" w:hanging="420"/>
      </w:pPr>
      <w:r>
        <w:rPr>
          <w:color w:val="20252B"/>
          <w:sz w:val="19"/>
        </w:rPr>
        <w:t>[3] Hosmer D W, Lemeshow S, Sturdivant R X. Applied Logistic Regression. Wiley, 2013.</w:t>
      </w:r>
    </w:p>
    <w:p w14:paraId="6CB4C8CC" w14:textId="77777777" w:rsidR="007B01BB" w:rsidRDefault="00000000">
      <w:pPr>
        <w:spacing w:after="80"/>
        <w:ind w:left="420" w:hanging="420"/>
      </w:pPr>
      <w:r>
        <w:rPr>
          <w:color w:val="20252B"/>
          <w:sz w:val="19"/>
        </w:rPr>
        <w:lastRenderedPageBreak/>
        <w:t>[4] Hastie T, Tibshirani R, Friedman J. The Elements of Statistical Learning. Springer, 2009.</w:t>
      </w:r>
    </w:p>
    <w:sectPr w:rsidR="007B01BB" w:rsidSect="00034616">
      <w:headerReference w:type="default" r:id="rId13"/>
      <w:footerReference w:type="default" r:id="rId14"/>
      <w:pgSz w:w="11906" w:h="16838"/>
      <w:pgMar w:top="1247" w:right="1417" w:bottom="1134" w:left="1417" w:header="624" w:footer="56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8D1A0A" w14:textId="77777777" w:rsidR="00335B06" w:rsidRDefault="00335B06">
      <w:pPr>
        <w:spacing w:after="0" w:line="240" w:lineRule="auto"/>
      </w:pPr>
      <w:r>
        <w:separator/>
      </w:r>
    </w:p>
  </w:endnote>
  <w:endnote w:type="continuationSeparator" w:id="0">
    <w:p w14:paraId="3EE58E5D" w14:textId="77777777" w:rsidR="00335B06" w:rsidRDefault="00335B0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0B1F10" w14:textId="77777777" w:rsidR="007B01BB" w:rsidRDefault="00000000">
    <w:pPr>
      <w:pStyle w:val="a7"/>
      <w:jc w:val="right"/>
    </w:pPr>
    <w:r>
      <w:rPr>
        <w:color w:val="66727E"/>
        <w:sz w:val="18"/>
      </w:rPr>
      <w:t xml:space="preserve">第 </w:t>
    </w:r>
    <w:r>
      <w:rPr>
        <w:color w:val="66727E"/>
        <w:sz w:val="18"/>
      </w:rPr>
      <w:fldChar w:fldCharType="begin"/>
    </w:r>
    <w:r>
      <w:rPr>
        <w:color w:val="66727E"/>
        <w:sz w:val="18"/>
      </w:rPr>
      <w:instrText xml:space="preserve"> PAGE </w:instrText>
    </w:r>
    <w:r w:rsidR="005878E6">
      <w:rPr>
        <w:color w:val="66727E"/>
        <w:sz w:val="18"/>
      </w:rPr>
      <w:fldChar w:fldCharType="separate"/>
    </w:r>
    <w:r w:rsidR="005878E6">
      <w:rPr>
        <w:noProof/>
        <w:color w:val="66727E"/>
        <w:sz w:val="18"/>
      </w:rPr>
      <w:t>1</w:t>
    </w:r>
    <w:r>
      <w:rPr>
        <w:color w:val="66727E"/>
        <w:sz w:val="18"/>
      </w:rPr>
      <w:fldChar w:fldCharType="end"/>
    </w:r>
    <w:r>
      <w:rPr>
        <w:color w:val="66727E"/>
        <w:sz w:val="18"/>
      </w:rPr>
      <w:t xml:space="preserve"> 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A8DC39" w14:textId="77777777" w:rsidR="00335B06" w:rsidRDefault="00335B06">
      <w:pPr>
        <w:spacing w:after="0" w:line="240" w:lineRule="auto"/>
      </w:pPr>
      <w:r>
        <w:separator/>
      </w:r>
    </w:p>
  </w:footnote>
  <w:footnote w:type="continuationSeparator" w:id="0">
    <w:p w14:paraId="55BD53AE" w14:textId="77777777" w:rsidR="00335B06" w:rsidRDefault="00335B0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4ABCEB" w14:textId="77777777" w:rsidR="007B01BB" w:rsidRDefault="00000000">
    <w:pPr>
      <w:pStyle w:val="a5"/>
      <w:jc w:val="center"/>
      <w:rPr>
        <w:lang w:eastAsia="zh-CN"/>
      </w:rPr>
    </w:pPr>
    <w:r>
      <w:rPr>
        <w:color w:val="66727E"/>
        <w:sz w:val="18"/>
        <w:lang w:eastAsia="zh-CN"/>
      </w:rPr>
      <w:t>2025年全国大学生数学建模竞赛 C题 · 问题二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86781812">
    <w:abstractNumId w:val="8"/>
  </w:num>
  <w:num w:numId="2" w16cid:durableId="184561556">
    <w:abstractNumId w:val="6"/>
  </w:num>
  <w:num w:numId="3" w16cid:durableId="636032937">
    <w:abstractNumId w:val="5"/>
  </w:num>
  <w:num w:numId="4" w16cid:durableId="973758932">
    <w:abstractNumId w:val="4"/>
  </w:num>
  <w:num w:numId="5" w16cid:durableId="66079414">
    <w:abstractNumId w:val="7"/>
  </w:num>
  <w:num w:numId="6" w16cid:durableId="23944560">
    <w:abstractNumId w:val="3"/>
  </w:num>
  <w:num w:numId="7" w16cid:durableId="871499207">
    <w:abstractNumId w:val="2"/>
  </w:num>
  <w:num w:numId="8" w16cid:durableId="2048021024">
    <w:abstractNumId w:val="1"/>
  </w:num>
  <w:num w:numId="9" w16cid:durableId="5203201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35B06"/>
    <w:rsid w:val="003B10A7"/>
    <w:rsid w:val="005878E6"/>
    <w:rsid w:val="007B01BB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A04E97D"/>
  <w14:defaultImageDpi w14:val="300"/>
  <w15:docId w15:val="{E436042B-5409-9740-91D7-D4EA313E82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00" w:line="324" w:lineRule="auto"/>
    </w:pPr>
    <w:rPr>
      <w:rFonts w:ascii="Arial Unicode MS" w:eastAsia="Arial Unicode MS" w:hAnsi="Arial Unicode MS" w:cs="Arial Unicode MS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/>
      <w:b/>
      <w:bCs/>
      <w:color w:val="17365D"/>
      <w:sz w:val="30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2E74B5"/>
      <w:sz w:val="25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b/>
      <w:bCs/>
      <w:color w:val="1F4D78"/>
      <w:sz w:val="22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9</Pages>
  <Words>663</Words>
  <Characters>3782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4437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基于纵向达标概率与CART的BMI分组及最佳NIPT时点研究</dc:title>
  <dc:subject>2025 CUMCM C题 问题二</dc:subject>
  <dc:creator>参赛队伍</dc:creator>
  <cp:keywords/>
  <dc:description>generated by python-docx</dc:description>
  <cp:lastModifiedBy>Yichen Zhao (SDS,125090990)</cp:lastModifiedBy>
  <cp:revision>2</cp:revision>
  <dcterms:created xsi:type="dcterms:W3CDTF">2013-12-23T23:15:00Z</dcterms:created>
  <dcterms:modified xsi:type="dcterms:W3CDTF">2026-08-30T03:22:00Z</dcterms:modified>
  <cp:category/>
</cp:coreProperties>
</file>