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05" w:lineRule="atLeast"/>
        <w:ind w:left="1"/>
        <w:jc w:val="center"/>
        <w:rPr>
          <w:rFonts w:hint="default" w:ascii="宋体" w:hAnsi="宋体" w:eastAsia="宋体" w:cs="宋体"/>
          <w:b/>
          <w:bCs/>
          <w:color w:val="FF0000"/>
          <w:kern w:val="0"/>
          <w:sz w:val="44"/>
          <w:szCs w:val="44"/>
          <w:lang w:val="en-US" w:eastAsia="zh-CN"/>
        </w:rPr>
      </w:pPr>
      <w:bookmarkStart w:id="0" w:name="sqws_sdygws"/>
      <w:r>
        <w:rPr>
          <w:rFonts w:hint="eastAsia" w:ascii="宋体" w:hAnsi="宋体" w:cs="宋体"/>
          <w:b/>
          <w:bCs/>
          <w:color w:val="auto"/>
          <w:kern w:val="0"/>
          <w:sz w:val="44"/>
          <w:szCs w:val="44"/>
          <w:lang w:val="en-US" w:eastAsia="zh-CN"/>
        </w:rPr>
        <w:t>广东省惠州市</w:t>
      </w:r>
      <w:r>
        <w:rPr>
          <w:rFonts w:hint="eastAsia" w:ascii="宋体" w:hAnsi="宋体" w:cs="宋体"/>
          <w:b/>
          <w:bCs/>
          <w:color w:val="FF0000"/>
          <w:kern w:val="0"/>
          <w:sz w:val="44"/>
          <w:szCs w:val="44"/>
          <w:lang w:val="en-US" w:eastAsia="zh-CN"/>
        </w:rPr>
        <w:t>起诉法院</w:t>
      </w:r>
    </w:p>
    <w:p>
      <w:pPr>
        <w:widowControl/>
        <w:spacing w:line="405" w:lineRule="atLeast"/>
        <w:ind w:left="1"/>
        <w:jc w:val="center"/>
        <w:rPr>
          <w:rFonts w:ascii="宋体" w:hAnsi="宋体" w:cs="宋体"/>
          <w:color w:val="000000"/>
          <w:kern w:val="0"/>
          <w:sz w:val="44"/>
          <w:szCs w:val="44"/>
        </w:rPr>
      </w:pPr>
      <w:r>
        <w:rPr>
          <w:rFonts w:hint="eastAsia" w:ascii="宋体" w:hAnsi="宋体" w:cs="宋体"/>
          <w:b/>
          <w:bCs/>
          <w:color w:val="000000"/>
          <w:kern w:val="0"/>
          <w:sz w:val="44"/>
          <w:szCs w:val="44"/>
        </w:rPr>
        <w:t>诉讼文书送达</w:t>
      </w:r>
      <w:r>
        <w:rPr>
          <w:rFonts w:ascii="宋体" w:hAnsi="宋体" w:cs="宋体"/>
          <w:b/>
          <w:bCs/>
          <w:color w:val="000000"/>
          <w:kern w:val="0"/>
          <w:sz w:val="44"/>
          <w:szCs w:val="44"/>
        </w:rPr>
        <w:t>地址确认书</w:t>
      </w:r>
    </w:p>
    <w:tbl>
      <w:tblPr>
        <w:tblStyle w:val="2"/>
        <w:tblW w:w="972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718"/>
        <w:gridCol w:w="1350"/>
        <w:gridCol w:w="3420"/>
        <w:gridCol w:w="180"/>
        <w:gridCol w:w="540"/>
        <w:gridCol w:w="1097"/>
        <w:gridCol w:w="241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49" w:hRule="atLeast"/>
          <w:jc w:val="center"/>
        </w:trPr>
        <w:tc>
          <w:tcPr>
            <w:tcW w:w="718" w:type="dxa"/>
            <w:tcMar>
              <w:top w:w="0" w:type="dxa"/>
              <w:left w:w="108" w:type="dxa"/>
              <w:bottom w:w="0" w:type="dxa"/>
              <w:right w:w="108" w:type="dxa"/>
            </w:tcMar>
          </w:tcPr>
          <w:p>
            <w:pPr>
              <w:widowControl/>
              <w:spacing w:line="480" w:lineRule="auto"/>
              <w:jc w:val="center"/>
              <w:rPr>
                <w:rFonts w:ascii="宋体" w:hAnsi="宋体" w:cs="宋体"/>
                <w:kern w:val="0"/>
                <w:szCs w:val="21"/>
              </w:rPr>
            </w:pPr>
            <w:r>
              <w:rPr>
                <w:rFonts w:ascii="宋体" w:hAnsi="宋体" w:cs="宋体"/>
                <w:kern w:val="0"/>
                <w:szCs w:val="21"/>
              </w:rPr>
              <w:t>案号</w:t>
            </w:r>
          </w:p>
        </w:tc>
        <w:tc>
          <w:tcPr>
            <w:tcW w:w="4770" w:type="dxa"/>
            <w:gridSpan w:val="2"/>
            <w:tcMar>
              <w:top w:w="0" w:type="dxa"/>
              <w:left w:w="108" w:type="dxa"/>
              <w:bottom w:w="0" w:type="dxa"/>
              <w:right w:w="108" w:type="dxa"/>
            </w:tcMar>
          </w:tcPr>
          <w:p>
            <w:pPr>
              <w:widowControl/>
              <w:spacing w:line="315" w:lineRule="atLeast"/>
              <w:jc w:val="left"/>
              <w:rPr>
                <w:rFonts w:ascii="宋体" w:hAnsi="宋体" w:cs="宋体"/>
                <w:kern w:val="0"/>
                <w:szCs w:val="21"/>
              </w:rPr>
            </w:pPr>
            <w:r>
              <w:rPr>
                <w:rFonts w:ascii="宋体" w:hAnsi="宋体" w:cs="宋体"/>
                <w:kern w:val="0"/>
                <w:szCs w:val="21"/>
              </w:rPr>
              <w:t> </w:t>
            </w:r>
          </w:p>
        </w:tc>
        <w:tc>
          <w:tcPr>
            <w:tcW w:w="720" w:type="dxa"/>
            <w:gridSpan w:val="2"/>
            <w:vAlign w:val="center"/>
          </w:tcPr>
          <w:p>
            <w:pPr>
              <w:widowControl/>
              <w:spacing w:line="315" w:lineRule="atLeast"/>
              <w:jc w:val="center"/>
              <w:rPr>
                <w:rFonts w:ascii="宋体" w:hAnsi="宋体" w:cs="宋体"/>
                <w:kern w:val="0"/>
                <w:szCs w:val="21"/>
              </w:rPr>
            </w:pPr>
            <w:r>
              <w:rPr>
                <w:rFonts w:hint="eastAsia" w:ascii="宋体" w:hAnsi="宋体" w:cs="宋体"/>
                <w:kern w:val="0"/>
                <w:szCs w:val="21"/>
              </w:rPr>
              <w:t>案由</w:t>
            </w:r>
          </w:p>
        </w:tc>
        <w:tc>
          <w:tcPr>
            <w:tcW w:w="3512" w:type="dxa"/>
            <w:gridSpan w:val="2"/>
          </w:tcPr>
          <w:p>
            <w:pPr>
              <w:widowControl/>
              <w:spacing w:line="315" w:lineRule="atLeast"/>
              <w:jc w:val="left"/>
              <w:rPr>
                <w:rFonts w:ascii="宋体" w:hAnsi="宋体" w:cs="宋体"/>
                <w:kern w:val="0"/>
                <w:sz w:val="28"/>
                <w:szCs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268" w:hRule="atLeast"/>
          <w:jc w:val="center"/>
        </w:trPr>
        <w:tc>
          <w:tcPr>
            <w:tcW w:w="718" w:type="dxa"/>
            <w:tcMar>
              <w:top w:w="0" w:type="dxa"/>
              <w:left w:w="108" w:type="dxa"/>
              <w:bottom w:w="0" w:type="dxa"/>
              <w:right w:w="108" w:type="dxa"/>
            </w:tcMar>
          </w:tcPr>
          <w:p>
            <w:pPr>
              <w:widowControl/>
              <w:spacing w:line="315" w:lineRule="atLeast"/>
              <w:jc w:val="center"/>
              <w:rPr>
                <w:rFonts w:ascii="宋体" w:hAnsi="宋体" w:cs="宋体"/>
                <w:kern w:val="0"/>
                <w:szCs w:val="21"/>
              </w:rPr>
            </w:pPr>
          </w:p>
          <w:p>
            <w:pPr>
              <w:widowControl/>
              <w:spacing w:line="315" w:lineRule="atLeast"/>
              <w:jc w:val="center"/>
              <w:rPr>
                <w:rFonts w:ascii="宋体" w:hAnsi="宋体" w:cs="宋体"/>
                <w:kern w:val="0"/>
                <w:szCs w:val="21"/>
              </w:rPr>
            </w:pPr>
          </w:p>
          <w:p>
            <w:pPr>
              <w:widowControl/>
              <w:spacing w:line="315" w:lineRule="atLeast"/>
              <w:jc w:val="center"/>
              <w:rPr>
                <w:rFonts w:ascii="宋体" w:hAnsi="宋体" w:cs="宋体"/>
                <w:kern w:val="0"/>
                <w:szCs w:val="21"/>
              </w:rPr>
            </w:pPr>
          </w:p>
          <w:p>
            <w:pPr>
              <w:widowControl/>
              <w:spacing w:line="315" w:lineRule="atLeast"/>
              <w:jc w:val="center"/>
              <w:rPr>
                <w:rFonts w:ascii="宋体" w:hAnsi="宋体" w:cs="宋体"/>
                <w:kern w:val="0"/>
                <w:szCs w:val="21"/>
              </w:rPr>
            </w:pPr>
            <w:r>
              <w:rPr>
                <w:rFonts w:ascii="宋体" w:hAnsi="宋体" w:cs="宋体"/>
                <w:kern w:val="0"/>
                <w:szCs w:val="21"/>
              </w:rPr>
              <w:t>告</w:t>
            </w:r>
          </w:p>
          <w:p>
            <w:pPr>
              <w:widowControl/>
              <w:spacing w:line="315" w:lineRule="atLeast"/>
              <w:jc w:val="center"/>
              <w:rPr>
                <w:rFonts w:ascii="宋体" w:hAnsi="宋体" w:cs="宋体"/>
                <w:kern w:val="0"/>
                <w:szCs w:val="21"/>
              </w:rPr>
            </w:pPr>
          </w:p>
          <w:p>
            <w:pPr>
              <w:widowControl/>
              <w:spacing w:line="315" w:lineRule="atLeast"/>
              <w:jc w:val="center"/>
              <w:rPr>
                <w:rFonts w:ascii="宋体" w:hAnsi="宋体" w:cs="宋体"/>
                <w:kern w:val="0"/>
                <w:szCs w:val="21"/>
              </w:rPr>
            </w:pPr>
            <w:r>
              <w:rPr>
                <w:rFonts w:ascii="宋体" w:hAnsi="宋体" w:cs="宋体"/>
                <w:kern w:val="0"/>
                <w:szCs w:val="21"/>
              </w:rPr>
              <w:t>知</w:t>
            </w:r>
          </w:p>
          <w:p>
            <w:pPr>
              <w:widowControl/>
              <w:spacing w:line="315" w:lineRule="atLeast"/>
              <w:jc w:val="center"/>
              <w:rPr>
                <w:rFonts w:ascii="宋体" w:hAnsi="宋体" w:cs="宋体"/>
                <w:kern w:val="0"/>
                <w:szCs w:val="21"/>
              </w:rPr>
            </w:pPr>
          </w:p>
          <w:p>
            <w:pPr>
              <w:widowControl/>
              <w:spacing w:line="315" w:lineRule="atLeast"/>
              <w:jc w:val="center"/>
              <w:rPr>
                <w:rFonts w:ascii="宋体" w:hAnsi="宋体" w:cs="宋体"/>
                <w:kern w:val="0"/>
                <w:szCs w:val="21"/>
              </w:rPr>
            </w:pPr>
            <w:r>
              <w:rPr>
                <w:rFonts w:ascii="宋体" w:hAnsi="宋体" w:cs="宋体"/>
                <w:kern w:val="0"/>
                <w:szCs w:val="21"/>
              </w:rPr>
              <w:t>事</w:t>
            </w:r>
          </w:p>
          <w:p>
            <w:pPr>
              <w:widowControl/>
              <w:spacing w:line="315" w:lineRule="atLeast"/>
              <w:jc w:val="center"/>
              <w:rPr>
                <w:rFonts w:ascii="宋体" w:hAnsi="宋体" w:cs="宋体"/>
                <w:kern w:val="0"/>
                <w:szCs w:val="21"/>
              </w:rPr>
            </w:pPr>
          </w:p>
          <w:p>
            <w:pPr>
              <w:widowControl/>
              <w:spacing w:line="315" w:lineRule="atLeast"/>
              <w:jc w:val="center"/>
              <w:rPr>
                <w:rFonts w:ascii="宋体" w:hAnsi="宋体" w:cs="宋体"/>
                <w:kern w:val="0"/>
                <w:szCs w:val="21"/>
              </w:rPr>
            </w:pPr>
            <w:r>
              <w:rPr>
                <w:rFonts w:ascii="宋体" w:hAnsi="宋体" w:cs="宋体"/>
                <w:kern w:val="0"/>
                <w:szCs w:val="21"/>
              </w:rPr>
              <w:t>项</w:t>
            </w:r>
          </w:p>
        </w:tc>
        <w:tc>
          <w:tcPr>
            <w:tcW w:w="9002" w:type="dxa"/>
            <w:gridSpan w:val="6"/>
            <w:tcMar>
              <w:top w:w="0" w:type="dxa"/>
              <w:left w:w="108" w:type="dxa"/>
              <w:bottom w:w="0" w:type="dxa"/>
              <w:right w:w="108" w:type="dxa"/>
            </w:tcMar>
          </w:tcPr>
          <w:p>
            <w:pPr>
              <w:widowControl/>
              <w:spacing w:line="315" w:lineRule="atLeast"/>
              <w:ind w:firstLine="420" w:firstLineChars="200"/>
              <w:rPr>
                <w:rFonts w:ascii="宋体" w:hAnsi="宋体" w:cs="宋体"/>
                <w:kern w:val="0"/>
                <w:szCs w:val="21"/>
              </w:rPr>
            </w:pPr>
            <w:r>
              <w:rPr>
                <w:rFonts w:hint="eastAsia" w:ascii="宋体" w:hAnsi="宋体" w:cs="宋体"/>
                <w:kern w:val="0"/>
                <w:szCs w:val="21"/>
              </w:rPr>
              <w:t>1、为方便当事人及其诉讼代理人及时接收人民法院诉讼文书，保障诉讼程序顺利进行，当事人或者其诉讼代理人应当如实填写本确认书的有关事项；</w:t>
            </w:r>
            <w:r>
              <w:rPr>
                <w:rFonts w:hint="eastAsia" w:ascii="宋体" w:hAnsi="宋体" w:cs="宋体"/>
                <w:b/>
                <w:kern w:val="0"/>
                <w:szCs w:val="21"/>
              </w:rPr>
              <w:t>填写的事项如有变更，应当及时告知人民法院；不及时告知变更事项或者填写的内容不准确，导致诉讼文书无法送达或者未能及时送达的，当事人自行承担由此可能产生的法律后果。</w:t>
            </w:r>
          </w:p>
          <w:p>
            <w:pPr>
              <w:widowControl/>
              <w:spacing w:line="315" w:lineRule="atLeast"/>
              <w:ind w:firstLine="420" w:firstLineChars="200"/>
              <w:rPr>
                <w:rFonts w:ascii="宋体" w:hAnsi="宋体"/>
                <w:szCs w:val="21"/>
              </w:rPr>
            </w:pPr>
            <w:r>
              <w:rPr>
                <w:rFonts w:hint="eastAsia" w:ascii="宋体" w:hAnsi="宋体" w:cs="宋体"/>
                <w:kern w:val="0"/>
                <w:szCs w:val="21"/>
              </w:rPr>
              <w:t>2、当事人及其诉讼代理人同意接受</w:t>
            </w:r>
            <w:r>
              <w:rPr>
                <w:rFonts w:hint="eastAsia" w:ascii="宋体" w:hAnsi="宋体"/>
                <w:szCs w:val="21"/>
              </w:rPr>
              <w:t>电子送达的，人民</w:t>
            </w:r>
            <w:r>
              <w:rPr>
                <w:rFonts w:hint="eastAsia" w:ascii="宋体" w:hAnsi="宋体" w:cs="宋体"/>
                <w:kern w:val="0"/>
                <w:szCs w:val="21"/>
              </w:rPr>
              <w:t>法院为其免费提供专用电子邮箱，</w:t>
            </w:r>
            <w:r>
              <w:rPr>
                <w:rFonts w:hint="eastAsia" w:ascii="宋体" w:hAnsi="宋体"/>
                <w:color w:val="000000"/>
                <w:szCs w:val="21"/>
              </w:rPr>
              <w:t>邮箱帐号为：</w:t>
            </w:r>
            <w:r>
              <w:rPr>
                <w:rFonts w:hint="eastAsia" w:ascii="宋体" w:hAnsi="宋体"/>
                <w:szCs w:val="21"/>
              </w:rPr>
              <w:t>受送达人身份证号码/</w:t>
            </w:r>
            <w:r>
              <w:rPr>
                <w:rFonts w:hint="eastAsia" w:ascii="宋体" w:hAnsi="宋体" w:cs="宋体"/>
                <w:kern w:val="0"/>
                <w:szCs w:val="21"/>
              </w:rPr>
              <w:t>组织机构代</w:t>
            </w:r>
            <w:r>
              <w:rPr>
                <w:rFonts w:hint="eastAsia" w:ascii="宋体" w:hAnsi="宋体"/>
                <w:szCs w:val="21"/>
              </w:rPr>
              <w:t>码/律师执业证号码</w:t>
            </w:r>
            <w:r>
              <w:rPr>
                <w:rFonts w:ascii="宋体" w:hAnsi="宋体"/>
                <w:color w:val="000000"/>
                <w:szCs w:val="21"/>
              </w:rPr>
              <w:t>+</w:t>
            </w:r>
            <w:r>
              <w:rPr>
                <w:rFonts w:ascii="宋体" w:hAnsi="宋体"/>
                <w:szCs w:val="21"/>
              </w:rPr>
              <w:t>@</w:t>
            </w:r>
            <w:r>
              <w:rPr>
                <w:rFonts w:hint="eastAsia" w:ascii="宋体" w:hAnsi="宋体"/>
                <w:szCs w:val="21"/>
              </w:rPr>
              <w:t>sd</w:t>
            </w:r>
            <w:r>
              <w:rPr>
                <w:rFonts w:ascii="宋体" w:hAnsi="宋体" w:cs="宋体"/>
                <w:color w:val="000011"/>
                <w:kern w:val="0"/>
                <w:szCs w:val="21"/>
              </w:rPr>
              <w:t>.g</w:t>
            </w:r>
            <w:r>
              <w:rPr>
                <w:rFonts w:hint="eastAsia" w:ascii="宋体" w:hAnsi="宋体" w:cs="宋体"/>
                <w:color w:val="000011"/>
                <w:kern w:val="0"/>
                <w:szCs w:val="21"/>
              </w:rPr>
              <w:t>dcourts</w:t>
            </w:r>
            <w:r>
              <w:rPr>
                <w:rFonts w:ascii="宋体" w:hAnsi="宋体" w:cs="宋体"/>
                <w:color w:val="000011"/>
                <w:kern w:val="0"/>
                <w:szCs w:val="21"/>
              </w:rPr>
              <w:t>.gov.cn</w:t>
            </w:r>
            <w:r>
              <w:rPr>
                <w:rFonts w:hint="eastAsia" w:ascii="宋体" w:hAnsi="宋体"/>
                <w:color w:val="000000"/>
                <w:szCs w:val="21"/>
              </w:rPr>
              <w:t>。该邮箱为广东法院诉讼文书送达专用邮箱，没有</w:t>
            </w:r>
            <w:r>
              <w:rPr>
                <w:rFonts w:hint="eastAsia" w:ascii="宋体" w:hAnsi="宋体"/>
                <w:szCs w:val="21"/>
              </w:rPr>
              <w:t>其他邮箱功能且不能删除和更改；</w:t>
            </w:r>
            <w:r>
              <w:rPr>
                <w:rFonts w:hint="eastAsia" w:ascii="宋体" w:hAnsi="宋体"/>
                <w:b/>
                <w:szCs w:val="21"/>
              </w:rPr>
              <w:t>该邮箱一经</w:t>
            </w:r>
            <w:r>
              <w:rPr>
                <w:rFonts w:hint="eastAsia" w:ascii="宋体" w:hAnsi="宋体" w:cs="宋体"/>
                <w:b/>
                <w:kern w:val="0"/>
                <w:szCs w:val="21"/>
              </w:rPr>
              <w:t>当事人及其诉讼代理人</w:t>
            </w:r>
            <w:r>
              <w:rPr>
                <w:rFonts w:hint="eastAsia" w:ascii="宋体" w:hAnsi="宋体"/>
                <w:b/>
                <w:szCs w:val="21"/>
              </w:rPr>
              <w:t>确认为诉讼文书送达地址，即</w:t>
            </w:r>
            <w:r>
              <w:rPr>
                <w:rFonts w:hint="eastAsia" w:ascii="宋体" w:hAnsi="宋体" w:cs="宋体"/>
                <w:b/>
                <w:kern w:val="0"/>
                <w:szCs w:val="21"/>
              </w:rPr>
              <w:t>可用于案件一审、二审、再审（含申诉、申请再审）以及执行程序送达诉讼文书，无须当事人及其诉讼代理人再次确认。</w:t>
            </w:r>
          </w:p>
          <w:p>
            <w:pPr>
              <w:widowControl/>
              <w:spacing w:line="315" w:lineRule="atLeast"/>
              <w:ind w:firstLine="420" w:firstLineChars="200"/>
              <w:rPr>
                <w:rFonts w:ascii="宋体" w:hAnsi="宋体"/>
                <w:szCs w:val="21"/>
              </w:rPr>
            </w:pPr>
            <w:r>
              <w:rPr>
                <w:rFonts w:hint="eastAsia" w:ascii="宋体" w:hAnsi="宋体"/>
                <w:color w:val="000000"/>
                <w:szCs w:val="21"/>
              </w:rPr>
              <w:t>3、为保护当事人隐私，邮箱开通时自动生成登陆密码，并发送提示短信至当事人或者其诉讼代理人指定的手机号码；每次登陆邮箱都需输入密码和验证码。受送达人应妥善保管密码。</w:t>
            </w:r>
          </w:p>
          <w:p>
            <w:pPr>
              <w:widowControl/>
              <w:spacing w:line="315" w:lineRule="atLeast"/>
              <w:ind w:firstLine="413" w:firstLineChars="196"/>
              <w:rPr>
                <w:rFonts w:ascii="宋体" w:hAnsi="宋体"/>
                <w:color w:val="000000"/>
                <w:szCs w:val="21"/>
              </w:rPr>
            </w:pPr>
            <w:r>
              <w:rPr>
                <w:rFonts w:hint="eastAsia" w:ascii="宋体" w:hAnsi="宋体"/>
                <w:b/>
                <w:szCs w:val="21"/>
              </w:rPr>
              <w:t>4、电子邮件一经发送成功，诉讼文书即视为送达，电子邮件到达专用邮箱的日期为送达日期。</w:t>
            </w:r>
            <w:r>
              <w:rPr>
                <w:rFonts w:hint="eastAsia" w:ascii="宋体" w:hAnsi="宋体"/>
                <w:szCs w:val="21"/>
              </w:rPr>
              <w:t>为保障您的诉讼权益，请及时登陆邮箱查收并下载诉讼文书。</w:t>
            </w:r>
          </w:p>
          <w:p>
            <w:pPr>
              <w:widowControl/>
              <w:spacing w:line="315" w:lineRule="atLeast"/>
              <w:ind w:firstLine="420" w:firstLineChars="200"/>
              <w:rPr>
                <w:rFonts w:ascii="宋体" w:hAnsi="宋体"/>
                <w:color w:val="000000"/>
                <w:szCs w:val="21"/>
              </w:rPr>
            </w:pPr>
            <w:r>
              <w:rPr>
                <w:rFonts w:hint="eastAsia" w:ascii="宋体" w:hAnsi="宋体" w:cs="宋体"/>
                <w:kern w:val="0"/>
                <w:szCs w:val="21"/>
              </w:rPr>
              <w:t>5、有关送达的法律规定，见本《确认书》背面。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203" w:hRule="atLeast"/>
          <w:jc w:val="center"/>
        </w:trPr>
        <w:tc>
          <w:tcPr>
            <w:tcW w:w="2068" w:type="dxa"/>
            <w:gridSpan w:val="2"/>
            <w:vMerge w:val="restart"/>
            <w:tcMar>
              <w:top w:w="0" w:type="dxa"/>
              <w:left w:w="108" w:type="dxa"/>
              <w:bottom w:w="0" w:type="dxa"/>
              <w:right w:w="108" w:type="dxa"/>
            </w:tcMar>
            <w:vAlign w:val="center"/>
          </w:tcPr>
          <w:p>
            <w:pPr>
              <w:widowControl/>
              <w:jc w:val="center"/>
              <w:rPr>
                <w:rFonts w:ascii="宋体" w:hAnsi="宋体" w:cs="宋体"/>
                <w:kern w:val="0"/>
                <w:szCs w:val="21"/>
              </w:rPr>
            </w:pPr>
            <w:r>
              <w:rPr>
                <w:rFonts w:hint="eastAsia" w:ascii="宋体" w:hAnsi="宋体" w:cs="宋体"/>
                <w:kern w:val="0"/>
                <w:szCs w:val="21"/>
              </w:rPr>
              <w:t>当事人</w:t>
            </w:r>
          </w:p>
        </w:tc>
        <w:tc>
          <w:tcPr>
            <w:tcW w:w="3600" w:type="dxa"/>
            <w:gridSpan w:val="2"/>
            <w:vMerge w:val="restart"/>
            <w:tcMar>
              <w:top w:w="0" w:type="dxa"/>
              <w:left w:w="108" w:type="dxa"/>
              <w:bottom w:w="0" w:type="dxa"/>
              <w:right w:w="108" w:type="dxa"/>
            </w:tcMar>
            <w:vAlign w:val="center"/>
          </w:tcPr>
          <w:p>
            <w:pPr>
              <w:widowControl/>
              <w:rPr>
                <w:rFonts w:ascii="宋体" w:hAnsi="宋体" w:cs="宋体"/>
                <w:kern w:val="0"/>
                <w:szCs w:val="21"/>
              </w:rPr>
            </w:pPr>
            <w:r>
              <w:rPr>
                <w:rFonts w:hint="eastAsia" w:ascii="仿宋" w:hAnsi="仿宋" w:eastAsia="仿宋" w:cs="仿宋"/>
                <w:sz w:val="24"/>
              </w:rPr>
              <w:t>中国人民财产保险股份有限公司</w:t>
            </w:r>
            <w:r>
              <w:rPr>
                <w:rFonts w:hint="eastAsia" w:ascii="仿宋" w:hAnsi="仿宋" w:eastAsia="仿宋" w:cs="仿宋"/>
                <w:sz w:val="24"/>
                <w:lang w:val="en-US" w:eastAsia="zh-CN"/>
              </w:rPr>
              <w:t>惠州</w:t>
            </w:r>
            <w:r>
              <w:rPr>
                <w:rFonts w:hint="eastAsia" w:ascii="仿宋" w:hAnsi="仿宋" w:eastAsia="仿宋" w:cs="仿宋"/>
                <w:sz w:val="24"/>
              </w:rPr>
              <w:t>市分公司</w:t>
            </w:r>
          </w:p>
        </w:tc>
        <w:tc>
          <w:tcPr>
            <w:tcW w:w="1637" w:type="dxa"/>
            <w:gridSpan w:val="2"/>
            <w:vAlign w:val="center"/>
          </w:tcPr>
          <w:p>
            <w:pPr>
              <w:spacing w:line="480" w:lineRule="auto"/>
              <w:jc w:val="center"/>
              <w:rPr>
                <w:rFonts w:ascii="宋体" w:hAnsi="宋体" w:cs="宋体"/>
                <w:kern w:val="0"/>
                <w:szCs w:val="21"/>
              </w:rPr>
            </w:pPr>
            <w:r>
              <w:rPr>
                <w:rFonts w:hint="eastAsia" w:ascii="宋体" w:hAnsi="宋体" w:cs="宋体"/>
                <w:kern w:val="0"/>
                <w:szCs w:val="21"/>
              </w:rPr>
              <w:t>身份证号码</w:t>
            </w:r>
          </w:p>
        </w:tc>
        <w:tc>
          <w:tcPr>
            <w:tcW w:w="2415" w:type="dxa"/>
            <w:vAlign w:val="center"/>
          </w:tcPr>
          <w:p>
            <w:pPr>
              <w:widowControl/>
              <w:spacing w:line="480" w:lineRule="auto"/>
              <w:jc w:val="center"/>
              <w:rPr>
                <w:rFonts w:ascii="宋体" w:hAnsi="宋体" w:cs="宋体"/>
                <w:kern w:val="0"/>
                <w:sz w:val="24"/>
              </w:rPr>
            </w:pPr>
            <w:r>
              <w:rPr>
                <w:rFonts w:hint="eastAsia" w:ascii="宋体" w:hAnsi="宋体" w:cs="宋体"/>
                <w:kern w:val="0"/>
                <w:sz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504" w:hRule="atLeast"/>
          <w:jc w:val="center"/>
        </w:trPr>
        <w:tc>
          <w:tcPr>
            <w:tcW w:w="2068" w:type="dxa"/>
            <w:gridSpan w:val="2"/>
            <w:vMerge w:val="continue"/>
            <w:tcMar>
              <w:top w:w="0" w:type="dxa"/>
              <w:left w:w="108" w:type="dxa"/>
              <w:bottom w:w="0" w:type="dxa"/>
              <w:right w:w="108" w:type="dxa"/>
            </w:tcMar>
            <w:vAlign w:val="center"/>
          </w:tcPr>
          <w:p>
            <w:pPr>
              <w:widowControl/>
              <w:jc w:val="center"/>
              <w:rPr>
                <w:rFonts w:ascii="宋体" w:hAnsi="宋体" w:cs="宋体"/>
                <w:kern w:val="0"/>
                <w:szCs w:val="21"/>
              </w:rPr>
            </w:pPr>
          </w:p>
        </w:tc>
        <w:tc>
          <w:tcPr>
            <w:tcW w:w="3600" w:type="dxa"/>
            <w:gridSpan w:val="2"/>
            <w:vMerge w:val="continue"/>
            <w:tcMar>
              <w:top w:w="0" w:type="dxa"/>
              <w:left w:w="108" w:type="dxa"/>
              <w:bottom w:w="0" w:type="dxa"/>
              <w:right w:w="108" w:type="dxa"/>
            </w:tcMar>
            <w:vAlign w:val="center"/>
          </w:tcPr>
          <w:p>
            <w:pPr>
              <w:widowControl/>
              <w:jc w:val="center"/>
              <w:rPr>
                <w:rFonts w:ascii="宋体" w:hAnsi="宋体" w:cs="宋体"/>
                <w:kern w:val="0"/>
                <w:szCs w:val="21"/>
              </w:rPr>
            </w:pPr>
          </w:p>
        </w:tc>
        <w:tc>
          <w:tcPr>
            <w:tcW w:w="1637" w:type="dxa"/>
            <w:gridSpan w:val="2"/>
            <w:vAlign w:val="center"/>
          </w:tcPr>
          <w:p>
            <w:pPr>
              <w:spacing w:line="480" w:lineRule="auto"/>
              <w:jc w:val="center"/>
              <w:rPr>
                <w:rFonts w:ascii="宋体" w:hAnsi="宋体" w:cs="宋体"/>
                <w:kern w:val="0"/>
                <w:szCs w:val="21"/>
              </w:rPr>
            </w:pPr>
            <w:r>
              <w:rPr>
                <w:rFonts w:hint="eastAsia" w:ascii="宋体" w:hAnsi="宋体" w:cs="宋体"/>
                <w:kern w:val="0"/>
                <w:szCs w:val="21"/>
              </w:rPr>
              <w:t>组织机构代码</w:t>
            </w:r>
          </w:p>
        </w:tc>
        <w:tc>
          <w:tcPr>
            <w:tcW w:w="2415" w:type="dxa"/>
            <w:vAlign w:val="center"/>
          </w:tcPr>
          <w:p>
            <w:pPr>
              <w:spacing w:line="480" w:lineRule="auto"/>
              <w:rPr>
                <w:rFonts w:hint="default" w:ascii="宋体" w:hAnsi="宋体" w:eastAsia="宋体" w:cs="宋体"/>
                <w:kern w:val="0"/>
                <w:sz w:val="24"/>
                <w:lang w:val="en-US" w:eastAsia="zh-CN"/>
              </w:rPr>
            </w:pPr>
            <w:r>
              <w:rPr>
                <w:rFonts w:hint="eastAsia" w:ascii="仿宋" w:hAnsi="仿宋" w:eastAsia="仿宋" w:cs="仿宋"/>
                <w:sz w:val="24"/>
                <w:lang w:val="en-US" w:eastAsia="zh-CN"/>
              </w:rPr>
              <w:t>91441300895996733K</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581" w:hRule="atLeast"/>
          <w:jc w:val="center"/>
        </w:trPr>
        <w:tc>
          <w:tcPr>
            <w:tcW w:w="718" w:type="dxa"/>
            <w:vMerge w:val="restart"/>
            <w:vAlign w:val="center"/>
          </w:tcPr>
          <w:p>
            <w:pPr>
              <w:spacing w:line="360" w:lineRule="auto"/>
              <w:jc w:val="center"/>
              <w:rPr>
                <w:rFonts w:ascii="宋体" w:hAnsi="宋体" w:cs="宋体"/>
                <w:kern w:val="0"/>
                <w:sz w:val="18"/>
                <w:szCs w:val="18"/>
              </w:rPr>
            </w:pPr>
            <w:r>
              <w:rPr>
                <w:rFonts w:hint="eastAsia" w:ascii="宋体" w:hAnsi="宋体" w:cs="宋体"/>
                <w:kern w:val="0"/>
                <w:szCs w:val="21"/>
              </w:rPr>
              <w:t>电</w:t>
            </w:r>
          </w:p>
          <w:p>
            <w:pPr>
              <w:spacing w:line="360" w:lineRule="auto"/>
              <w:jc w:val="center"/>
              <w:rPr>
                <w:rFonts w:ascii="宋体" w:hAnsi="宋体" w:cs="宋体"/>
                <w:kern w:val="0"/>
                <w:sz w:val="18"/>
                <w:szCs w:val="18"/>
              </w:rPr>
            </w:pPr>
            <w:r>
              <w:rPr>
                <w:rFonts w:hint="eastAsia" w:ascii="宋体" w:hAnsi="宋体" w:cs="宋体"/>
                <w:kern w:val="0"/>
                <w:szCs w:val="21"/>
              </w:rPr>
              <w:t>子</w:t>
            </w:r>
          </w:p>
          <w:p>
            <w:pPr>
              <w:spacing w:line="360" w:lineRule="auto"/>
              <w:jc w:val="center"/>
              <w:rPr>
                <w:rFonts w:ascii="宋体" w:hAnsi="宋体" w:cs="宋体"/>
                <w:kern w:val="0"/>
                <w:sz w:val="18"/>
                <w:szCs w:val="18"/>
              </w:rPr>
            </w:pPr>
            <w:r>
              <w:rPr>
                <w:rFonts w:hint="eastAsia" w:ascii="宋体" w:hAnsi="宋体" w:cs="宋体"/>
                <w:kern w:val="0"/>
                <w:szCs w:val="21"/>
              </w:rPr>
              <w:t>送</w:t>
            </w:r>
          </w:p>
          <w:p>
            <w:pPr>
              <w:spacing w:line="360" w:lineRule="auto"/>
              <w:jc w:val="center"/>
              <w:rPr>
                <w:rFonts w:ascii="宋体" w:hAnsi="宋体" w:cs="宋体"/>
                <w:kern w:val="0"/>
                <w:szCs w:val="21"/>
              </w:rPr>
            </w:pPr>
            <w:r>
              <w:rPr>
                <w:rFonts w:hint="eastAsia" w:ascii="宋体" w:hAnsi="宋体" w:cs="宋体"/>
                <w:kern w:val="0"/>
                <w:szCs w:val="21"/>
              </w:rPr>
              <w:t>达</w:t>
            </w:r>
          </w:p>
        </w:tc>
        <w:tc>
          <w:tcPr>
            <w:tcW w:w="1350" w:type="dxa"/>
            <w:tcMar>
              <w:top w:w="0" w:type="dxa"/>
              <w:left w:w="108" w:type="dxa"/>
              <w:bottom w:w="0" w:type="dxa"/>
              <w:right w:w="108" w:type="dxa"/>
            </w:tcMar>
            <w:vAlign w:val="center"/>
          </w:tcPr>
          <w:p>
            <w:pPr>
              <w:widowControl/>
              <w:jc w:val="center"/>
              <w:rPr>
                <w:rFonts w:ascii="宋体" w:hAnsi="宋体" w:cs="宋体"/>
                <w:kern w:val="3"/>
                <w:szCs w:val="21"/>
              </w:rPr>
            </w:pPr>
            <w:r>
              <w:rPr>
                <w:rFonts w:hint="eastAsia" w:ascii="宋体" w:hAnsi="宋体" w:cs="宋体"/>
                <w:kern w:val="3"/>
                <w:szCs w:val="21"/>
              </w:rPr>
              <w:t>当事人</w:t>
            </w:r>
          </w:p>
          <w:p>
            <w:pPr>
              <w:widowControl/>
              <w:jc w:val="center"/>
              <w:rPr>
                <w:rFonts w:ascii="宋体" w:hAnsi="宋体" w:cs="宋体"/>
                <w:kern w:val="3"/>
                <w:szCs w:val="21"/>
              </w:rPr>
            </w:pPr>
            <w:r>
              <w:rPr>
                <w:rFonts w:hint="eastAsia" w:ascii="宋体" w:hAnsi="宋体" w:cs="宋体"/>
                <w:kern w:val="3"/>
                <w:szCs w:val="21"/>
              </w:rPr>
              <w:t>邮箱账号</w:t>
            </w:r>
          </w:p>
        </w:tc>
        <w:tc>
          <w:tcPr>
            <w:tcW w:w="3600" w:type="dxa"/>
            <w:gridSpan w:val="2"/>
            <w:tcMar>
              <w:top w:w="0" w:type="dxa"/>
              <w:left w:w="108" w:type="dxa"/>
              <w:bottom w:w="0" w:type="dxa"/>
              <w:right w:w="108" w:type="dxa"/>
            </w:tcMar>
          </w:tcPr>
          <w:p>
            <w:pPr>
              <w:widowControl/>
              <w:tabs>
                <w:tab w:val="left" w:pos="2655"/>
              </w:tabs>
              <w:jc w:val="center"/>
              <w:rPr>
                <w:rFonts w:ascii="宋体" w:hAnsi="宋体"/>
                <w:szCs w:val="21"/>
              </w:rPr>
            </w:pPr>
            <w:r>
              <w:rPr>
                <w:rFonts w:hint="eastAsia" w:ascii="宋体" w:hAnsi="宋体" w:cs="宋体"/>
                <w:kern w:val="0"/>
                <w:sz w:val="24"/>
              </w:rPr>
              <w:t>/</w:t>
            </w:r>
          </w:p>
        </w:tc>
        <w:tc>
          <w:tcPr>
            <w:tcW w:w="1637" w:type="dxa"/>
            <w:gridSpan w:val="2"/>
            <w:vAlign w:val="center"/>
          </w:tcPr>
          <w:p>
            <w:pPr>
              <w:widowControl/>
              <w:spacing w:line="480" w:lineRule="auto"/>
              <w:jc w:val="center"/>
              <w:rPr>
                <w:rFonts w:ascii="宋体" w:hAnsi="宋体" w:cs="宋体"/>
                <w:spacing w:val="-4"/>
                <w:kern w:val="0"/>
                <w:position w:val="-6"/>
                <w:szCs w:val="21"/>
              </w:rPr>
            </w:pPr>
            <w:r>
              <w:rPr>
                <w:rFonts w:hint="eastAsia" w:ascii="宋体" w:hAnsi="宋体" w:cs="宋体"/>
                <w:spacing w:val="-4"/>
                <w:kern w:val="0"/>
                <w:position w:val="-6"/>
                <w:szCs w:val="21"/>
              </w:rPr>
              <w:t>接收短信手机号码</w:t>
            </w:r>
          </w:p>
        </w:tc>
        <w:tc>
          <w:tcPr>
            <w:tcW w:w="2415" w:type="dxa"/>
          </w:tcPr>
          <w:p>
            <w:pPr>
              <w:widowControl/>
              <w:spacing w:line="480" w:lineRule="auto"/>
              <w:jc w:val="center"/>
              <w:rPr>
                <w:rFonts w:ascii="宋体" w:hAnsi="宋体" w:cs="宋体"/>
                <w:spacing w:val="-4"/>
                <w:kern w:val="0"/>
                <w:position w:val="-6"/>
                <w:sz w:val="24"/>
              </w:rPr>
            </w:pPr>
            <w:r>
              <w:rPr>
                <w:rFonts w:hint="eastAsia" w:ascii="宋体" w:hAnsi="宋体" w:cs="宋体"/>
                <w:kern w:val="0"/>
                <w:sz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309" w:hRule="atLeast"/>
          <w:jc w:val="center"/>
        </w:trPr>
        <w:tc>
          <w:tcPr>
            <w:tcW w:w="718" w:type="dxa"/>
            <w:vMerge w:val="continue"/>
            <w:vAlign w:val="center"/>
          </w:tcPr>
          <w:p>
            <w:pPr>
              <w:widowControl/>
              <w:jc w:val="center"/>
              <w:rPr>
                <w:rFonts w:ascii="宋体" w:hAnsi="宋体" w:cs="宋体"/>
                <w:kern w:val="0"/>
                <w:szCs w:val="21"/>
              </w:rPr>
            </w:pPr>
          </w:p>
        </w:tc>
        <w:tc>
          <w:tcPr>
            <w:tcW w:w="1350" w:type="dxa"/>
            <w:vMerge w:val="restart"/>
            <w:tcMar>
              <w:top w:w="0" w:type="dxa"/>
              <w:left w:w="108" w:type="dxa"/>
              <w:bottom w:w="0" w:type="dxa"/>
              <w:right w:w="108" w:type="dxa"/>
            </w:tcMar>
            <w:vAlign w:val="center"/>
          </w:tcPr>
          <w:p>
            <w:pPr>
              <w:jc w:val="center"/>
              <w:rPr>
                <w:rFonts w:ascii="宋体" w:hAnsi="宋体" w:cs="宋体"/>
                <w:kern w:val="3"/>
                <w:szCs w:val="21"/>
              </w:rPr>
            </w:pPr>
            <w:r>
              <w:rPr>
                <w:rFonts w:hint="eastAsia" w:ascii="宋体" w:hAnsi="宋体" w:cs="宋体"/>
                <w:kern w:val="3"/>
                <w:szCs w:val="21"/>
              </w:rPr>
              <w:t>诉讼</w:t>
            </w:r>
          </w:p>
          <w:p>
            <w:pPr>
              <w:jc w:val="center"/>
              <w:rPr>
                <w:rFonts w:ascii="宋体" w:hAnsi="宋体" w:cs="宋体"/>
                <w:kern w:val="3"/>
                <w:szCs w:val="21"/>
              </w:rPr>
            </w:pPr>
            <w:r>
              <w:rPr>
                <w:rFonts w:hint="eastAsia" w:ascii="宋体" w:hAnsi="宋体" w:cs="宋体"/>
                <w:kern w:val="3"/>
                <w:szCs w:val="21"/>
              </w:rPr>
              <w:t>代理人</w:t>
            </w:r>
          </w:p>
        </w:tc>
        <w:tc>
          <w:tcPr>
            <w:tcW w:w="3600" w:type="dxa"/>
            <w:gridSpan w:val="2"/>
            <w:vMerge w:val="restart"/>
            <w:tcMar>
              <w:top w:w="0" w:type="dxa"/>
              <w:left w:w="108" w:type="dxa"/>
              <w:bottom w:w="0" w:type="dxa"/>
              <w:right w:w="108" w:type="dxa"/>
            </w:tcMar>
          </w:tcPr>
          <w:p>
            <w:pPr>
              <w:widowControl/>
              <w:rPr>
                <w:rFonts w:ascii="宋体" w:hAnsi="宋体" w:cs="宋体"/>
                <w:kern w:val="0"/>
                <w:szCs w:val="21"/>
              </w:rPr>
            </w:pPr>
          </w:p>
          <w:p>
            <w:pPr>
              <w:widowControl/>
              <w:jc w:val="center"/>
              <w:rPr>
                <w:rFonts w:ascii="宋体" w:hAnsi="宋体" w:cs="宋体"/>
                <w:spacing w:val="-4"/>
                <w:kern w:val="0"/>
                <w:position w:val="-6"/>
                <w:szCs w:val="21"/>
              </w:rPr>
            </w:pPr>
            <w:r>
              <w:rPr>
                <w:rFonts w:hint="eastAsia" w:ascii="仿宋" w:hAnsi="仿宋" w:eastAsia="仿宋" w:cs="仿宋"/>
                <w:sz w:val="24"/>
              </w:rPr>
              <w:t>黎志明</w:t>
            </w:r>
          </w:p>
        </w:tc>
        <w:tc>
          <w:tcPr>
            <w:tcW w:w="1637" w:type="dxa"/>
            <w:gridSpan w:val="2"/>
            <w:vAlign w:val="center"/>
          </w:tcPr>
          <w:p>
            <w:pPr>
              <w:spacing w:line="480" w:lineRule="auto"/>
              <w:jc w:val="center"/>
              <w:rPr>
                <w:rFonts w:ascii="宋体" w:hAnsi="宋体" w:cs="宋体"/>
                <w:spacing w:val="-4"/>
                <w:kern w:val="0"/>
                <w:position w:val="-6"/>
                <w:szCs w:val="21"/>
              </w:rPr>
            </w:pPr>
            <w:r>
              <w:rPr>
                <w:rFonts w:hint="eastAsia" w:ascii="宋体" w:hAnsi="宋体" w:cs="宋体"/>
                <w:kern w:val="0"/>
                <w:szCs w:val="21"/>
              </w:rPr>
              <w:t>律师执业证号码</w:t>
            </w:r>
          </w:p>
        </w:tc>
        <w:tc>
          <w:tcPr>
            <w:tcW w:w="2415" w:type="dxa"/>
          </w:tcPr>
          <w:p>
            <w:pPr>
              <w:widowControl/>
              <w:spacing w:line="480" w:lineRule="auto"/>
              <w:jc w:val="center"/>
              <w:rPr>
                <w:rFonts w:ascii="宋体" w:hAnsi="宋体" w:cs="宋体"/>
                <w:spacing w:val="-4"/>
                <w:kern w:val="0"/>
                <w:position w:val="-6"/>
                <w:sz w:val="24"/>
              </w:rPr>
            </w:pPr>
            <w:r>
              <w:rPr>
                <w:rFonts w:hint="eastAsia" w:ascii="仿宋" w:hAnsi="仿宋" w:eastAsia="仿宋" w:cs="仿宋"/>
                <w:sz w:val="24"/>
              </w:rPr>
              <w:t>14401201310092152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59" w:hRule="atLeast"/>
          <w:jc w:val="center"/>
        </w:trPr>
        <w:tc>
          <w:tcPr>
            <w:tcW w:w="718" w:type="dxa"/>
            <w:vMerge w:val="continue"/>
            <w:vAlign w:val="center"/>
          </w:tcPr>
          <w:p>
            <w:pPr>
              <w:widowControl/>
              <w:jc w:val="center"/>
              <w:rPr>
                <w:rFonts w:ascii="宋体" w:hAnsi="宋体" w:cs="宋体"/>
                <w:kern w:val="0"/>
                <w:szCs w:val="21"/>
              </w:rPr>
            </w:pPr>
          </w:p>
        </w:tc>
        <w:tc>
          <w:tcPr>
            <w:tcW w:w="1350" w:type="dxa"/>
            <w:vMerge w:val="continue"/>
            <w:tcMar>
              <w:top w:w="0" w:type="dxa"/>
              <w:left w:w="108" w:type="dxa"/>
              <w:bottom w:w="0" w:type="dxa"/>
              <w:right w:w="108" w:type="dxa"/>
            </w:tcMar>
            <w:vAlign w:val="center"/>
          </w:tcPr>
          <w:p>
            <w:pPr>
              <w:jc w:val="center"/>
              <w:rPr>
                <w:rFonts w:ascii="宋体" w:hAnsi="宋体" w:cs="宋体"/>
                <w:kern w:val="3"/>
                <w:szCs w:val="21"/>
              </w:rPr>
            </w:pPr>
          </w:p>
        </w:tc>
        <w:tc>
          <w:tcPr>
            <w:tcW w:w="3600" w:type="dxa"/>
            <w:gridSpan w:val="2"/>
            <w:vMerge w:val="continue"/>
            <w:tcMar>
              <w:top w:w="0" w:type="dxa"/>
              <w:left w:w="108" w:type="dxa"/>
              <w:bottom w:w="0" w:type="dxa"/>
              <w:right w:w="108" w:type="dxa"/>
            </w:tcMar>
          </w:tcPr>
          <w:p>
            <w:pPr>
              <w:widowControl/>
              <w:jc w:val="center"/>
              <w:rPr>
                <w:rFonts w:ascii="宋体" w:hAnsi="宋体" w:cs="宋体"/>
                <w:spacing w:val="-4"/>
                <w:kern w:val="0"/>
                <w:position w:val="-6"/>
                <w:szCs w:val="21"/>
              </w:rPr>
            </w:pPr>
          </w:p>
        </w:tc>
        <w:tc>
          <w:tcPr>
            <w:tcW w:w="1637" w:type="dxa"/>
            <w:gridSpan w:val="2"/>
            <w:vAlign w:val="center"/>
          </w:tcPr>
          <w:p>
            <w:pPr>
              <w:spacing w:line="480" w:lineRule="auto"/>
              <w:jc w:val="center"/>
              <w:rPr>
                <w:rFonts w:ascii="宋体" w:hAnsi="宋体" w:cs="宋体"/>
                <w:kern w:val="0"/>
                <w:szCs w:val="21"/>
              </w:rPr>
            </w:pPr>
            <w:r>
              <w:rPr>
                <w:rFonts w:hint="eastAsia" w:ascii="宋体" w:hAnsi="宋体" w:cs="宋体"/>
                <w:kern w:val="0"/>
                <w:szCs w:val="21"/>
              </w:rPr>
              <w:t>身份证号码</w:t>
            </w:r>
          </w:p>
        </w:tc>
        <w:tc>
          <w:tcPr>
            <w:tcW w:w="2415" w:type="dxa"/>
          </w:tcPr>
          <w:p>
            <w:pPr>
              <w:widowControl/>
              <w:spacing w:line="480" w:lineRule="auto"/>
              <w:jc w:val="center"/>
              <w:rPr>
                <w:rFonts w:ascii="宋体" w:hAnsi="宋体" w:cs="宋体"/>
                <w:spacing w:val="-4"/>
                <w:kern w:val="0"/>
                <w:position w:val="-6"/>
                <w:sz w:val="24"/>
              </w:rPr>
            </w:pPr>
            <w:r>
              <w:rPr>
                <w:rFonts w:hint="eastAsia" w:ascii="宋体" w:hAnsi="宋体" w:cs="宋体"/>
                <w:kern w:val="0"/>
                <w:sz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42" w:hRule="atLeast"/>
          <w:jc w:val="center"/>
        </w:trPr>
        <w:tc>
          <w:tcPr>
            <w:tcW w:w="718" w:type="dxa"/>
            <w:vMerge w:val="continue"/>
            <w:vAlign w:val="center"/>
          </w:tcPr>
          <w:p>
            <w:pPr>
              <w:widowControl/>
              <w:jc w:val="center"/>
              <w:rPr>
                <w:rFonts w:ascii="宋体" w:hAnsi="宋体" w:cs="宋体"/>
                <w:kern w:val="0"/>
                <w:szCs w:val="21"/>
              </w:rPr>
            </w:pPr>
          </w:p>
        </w:tc>
        <w:tc>
          <w:tcPr>
            <w:tcW w:w="1350" w:type="dxa"/>
            <w:tcMar>
              <w:top w:w="0" w:type="dxa"/>
              <w:left w:w="108" w:type="dxa"/>
              <w:bottom w:w="0" w:type="dxa"/>
              <w:right w:w="108" w:type="dxa"/>
            </w:tcMar>
            <w:vAlign w:val="center"/>
          </w:tcPr>
          <w:p>
            <w:pPr>
              <w:jc w:val="center"/>
              <w:rPr>
                <w:rFonts w:ascii="宋体" w:hAnsi="宋体" w:cs="宋体"/>
                <w:kern w:val="3"/>
                <w:szCs w:val="21"/>
              </w:rPr>
            </w:pPr>
            <w:r>
              <w:rPr>
                <w:rFonts w:hint="eastAsia" w:ascii="宋体" w:hAnsi="宋体" w:cs="宋体"/>
                <w:kern w:val="3"/>
                <w:szCs w:val="21"/>
              </w:rPr>
              <w:t>诉讼代理人</w:t>
            </w:r>
          </w:p>
          <w:p>
            <w:pPr>
              <w:jc w:val="center"/>
              <w:rPr>
                <w:rFonts w:ascii="宋体" w:hAnsi="宋体" w:cs="宋体"/>
                <w:kern w:val="3"/>
                <w:szCs w:val="21"/>
              </w:rPr>
            </w:pPr>
            <w:r>
              <w:rPr>
                <w:rFonts w:hint="eastAsia" w:ascii="宋体" w:hAnsi="宋体" w:cs="宋体"/>
                <w:kern w:val="3"/>
                <w:szCs w:val="21"/>
              </w:rPr>
              <w:t>邮箱账号</w:t>
            </w:r>
          </w:p>
        </w:tc>
        <w:tc>
          <w:tcPr>
            <w:tcW w:w="3600" w:type="dxa"/>
            <w:gridSpan w:val="2"/>
            <w:tcMar>
              <w:top w:w="0" w:type="dxa"/>
              <w:left w:w="108" w:type="dxa"/>
              <w:bottom w:w="0" w:type="dxa"/>
              <w:right w:w="108" w:type="dxa"/>
            </w:tcMar>
          </w:tcPr>
          <w:p>
            <w:pPr>
              <w:widowControl/>
              <w:jc w:val="center"/>
              <w:rPr>
                <w:rFonts w:ascii="宋体" w:hAnsi="宋体" w:cs="宋体"/>
                <w:spacing w:val="-4"/>
                <w:kern w:val="0"/>
                <w:position w:val="-6"/>
                <w:szCs w:val="21"/>
              </w:rPr>
            </w:pPr>
            <w:r>
              <w:rPr>
                <w:rFonts w:hint="eastAsia" w:ascii="宋体" w:hAnsi="宋体" w:cs="宋体"/>
                <w:kern w:val="0"/>
                <w:sz w:val="24"/>
              </w:rPr>
              <w:t>/</w:t>
            </w:r>
          </w:p>
        </w:tc>
        <w:tc>
          <w:tcPr>
            <w:tcW w:w="1637" w:type="dxa"/>
            <w:gridSpan w:val="2"/>
            <w:vAlign w:val="center"/>
          </w:tcPr>
          <w:p>
            <w:pPr>
              <w:spacing w:line="480" w:lineRule="auto"/>
              <w:jc w:val="center"/>
              <w:rPr>
                <w:rFonts w:ascii="宋体" w:hAnsi="宋体" w:cs="宋体"/>
                <w:spacing w:val="-4"/>
                <w:kern w:val="0"/>
                <w:position w:val="-6"/>
                <w:szCs w:val="21"/>
              </w:rPr>
            </w:pPr>
            <w:r>
              <w:rPr>
                <w:rFonts w:hint="eastAsia" w:ascii="宋体" w:hAnsi="宋体" w:cs="宋体"/>
                <w:spacing w:val="-4"/>
                <w:kern w:val="0"/>
                <w:position w:val="-6"/>
                <w:szCs w:val="21"/>
              </w:rPr>
              <w:t>接收短信手机号码</w:t>
            </w:r>
          </w:p>
        </w:tc>
        <w:tc>
          <w:tcPr>
            <w:tcW w:w="2415" w:type="dxa"/>
          </w:tcPr>
          <w:p>
            <w:pPr>
              <w:widowControl/>
              <w:spacing w:line="480" w:lineRule="auto"/>
              <w:jc w:val="center"/>
              <w:rPr>
                <w:rFonts w:ascii="宋体" w:hAnsi="宋体" w:cs="宋体"/>
                <w:spacing w:val="-4"/>
                <w:kern w:val="0"/>
                <w:position w:val="-6"/>
                <w:sz w:val="24"/>
              </w:rPr>
            </w:pPr>
            <w:r>
              <w:rPr>
                <w:rFonts w:hint="eastAsia" w:ascii="宋体" w:hAnsi="宋体" w:cs="宋体"/>
                <w:kern w:val="0"/>
                <w:sz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890" w:hRule="atLeast"/>
          <w:jc w:val="center"/>
        </w:trPr>
        <w:tc>
          <w:tcPr>
            <w:tcW w:w="718" w:type="dxa"/>
            <w:vMerge w:val="restart"/>
            <w:vAlign w:val="center"/>
          </w:tcPr>
          <w:p>
            <w:pPr>
              <w:spacing w:line="360" w:lineRule="auto"/>
              <w:jc w:val="center"/>
              <w:rPr>
                <w:rFonts w:ascii="宋体" w:hAnsi="宋体" w:cs="宋体"/>
                <w:kern w:val="0"/>
                <w:sz w:val="18"/>
                <w:szCs w:val="18"/>
              </w:rPr>
            </w:pPr>
            <w:r>
              <w:rPr>
                <w:rFonts w:hint="eastAsia" w:ascii="宋体" w:hAnsi="宋体" w:cs="宋体"/>
                <w:kern w:val="0"/>
                <w:szCs w:val="21"/>
              </w:rPr>
              <w:t>邮</w:t>
            </w:r>
          </w:p>
          <w:p>
            <w:pPr>
              <w:spacing w:line="360" w:lineRule="auto"/>
              <w:jc w:val="center"/>
              <w:rPr>
                <w:rFonts w:ascii="宋体" w:hAnsi="宋体" w:cs="宋体"/>
                <w:kern w:val="0"/>
                <w:sz w:val="18"/>
                <w:szCs w:val="18"/>
              </w:rPr>
            </w:pPr>
            <w:r>
              <w:rPr>
                <w:rFonts w:hint="eastAsia" w:ascii="宋体" w:hAnsi="宋体" w:cs="宋体"/>
                <w:kern w:val="0"/>
                <w:szCs w:val="21"/>
              </w:rPr>
              <w:t>寄</w:t>
            </w:r>
          </w:p>
          <w:p>
            <w:pPr>
              <w:spacing w:line="360" w:lineRule="auto"/>
              <w:jc w:val="center"/>
              <w:rPr>
                <w:rFonts w:ascii="宋体" w:hAnsi="宋体" w:cs="宋体"/>
                <w:kern w:val="0"/>
                <w:sz w:val="18"/>
                <w:szCs w:val="18"/>
              </w:rPr>
            </w:pPr>
            <w:r>
              <w:rPr>
                <w:rFonts w:hint="eastAsia" w:ascii="宋体" w:hAnsi="宋体" w:cs="宋体"/>
                <w:kern w:val="0"/>
                <w:szCs w:val="21"/>
              </w:rPr>
              <w:t>送</w:t>
            </w:r>
          </w:p>
          <w:p>
            <w:pPr>
              <w:spacing w:line="360" w:lineRule="auto"/>
              <w:jc w:val="center"/>
              <w:rPr>
                <w:rFonts w:ascii="宋体" w:hAnsi="宋体" w:cs="宋体"/>
                <w:kern w:val="0"/>
                <w:szCs w:val="21"/>
              </w:rPr>
            </w:pPr>
            <w:r>
              <w:rPr>
                <w:rFonts w:hint="eastAsia" w:ascii="宋体" w:hAnsi="宋体" w:cs="宋体"/>
                <w:kern w:val="0"/>
                <w:szCs w:val="21"/>
              </w:rPr>
              <w:t>达</w:t>
            </w:r>
          </w:p>
        </w:tc>
        <w:tc>
          <w:tcPr>
            <w:tcW w:w="1350" w:type="dxa"/>
            <w:tcMar>
              <w:top w:w="0" w:type="dxa"/>
              <w:left w:w="108" w:type="dxa"/>
              <w:bottom w:w="0" w:type="dxa"/>
              <w:right w:w="108" w:type="dxa"/>
            </w:tcMar>
            <w:vAlign w:val="center"/>
          </w:tcPr>
          <w:p>
            <w:pPr>
              <w:jc w:val="center"/>
              <w:rPr>
                <w:rFonts w:ascii="宋体" w:hAnsi="宋体" w:cs="宋体"/>
                <w:kern w:val="0"/>
                <w:szCs w:val="21"/>
              </w:rPr>
            </w:pPr>
            <w:r>
              <w:rPr>
                <w:rFonts w:hint="eastAsia" w:ascii="宋体" w:hAnsi="宋体" w:cs="宋体"/>
                <w:kern w:val="0"/>
                <w:szCs w:val="21"/>
              </w:rPr>
              <w:t>送达地址</w:t>
            </w:r>
          </w:p>
        </w:tc>
        <w:tc>
          <w:tcPr>
            <w:tcW w:w="3600" w:type="dxa"/>
            <w:gridSpan w:val="2"/>
            <w:tcMar>
              <w:top w:w="0" w:type="dxa"/>
              <w:left w:w="108" w:type="dxa"/>
              <w:bottom w:w="0" w:type="dxa"/>
              <w:right w:w="108" w:type="dxa"/>
            </w:tcMar>
            <w:vAlign w:val="center"/>
          </w:tcPr>
          <w:p>
            <w:pPr>
              <w:widowControl/>
              <w:spacing w:line="405" w:lineRule="atLeast"/>
              <w:ind w:left="1"/>
              <w:rPr>
                <w:rFonts w:ascii="宋体" w:hAnsi="宋体" w:cs="宋体"/>
                <w:b/>
                <w:bCs/>
                <w:color w:val="000000"/>
                <w:kern w:val="0"/>
                <w:sz w:val="44"/>
                <w:szCs w:val="44"/>
              </w:rPr>
            </w:pPr>
            <w:r>
              <w:rPr>
                <w:rFonts w:hint="eastAsia" w:ascii="仿宋" w:hAnsi="仿宋" w:eastAsia="仿宋" w:cs="仿宋"/>
                <w:sz w:val="24"/>
              </w:rPr>
              <w:t>广州市番禺区石楼镇南星路66号B503</w:t>
            </w:r>
          </w:p>
        </w:tc>
        <w:tc>
          <w:tcPr>
            <w:tcW w:w="1637" w:type="dxa"/>
            <w:gridSpan w:val="2"/>
            <w:vAlign w:val="center"/>
          </w:tcPr>
          <w:p>
            <w:pPr>
              <w:jc w:val="center"/>
              <w:rPr>
                <w:rFonts w:ascii="宋体" w:hAnsi="宋体" w:cs="宋体"/>
                <w:kern w:val="0"/>
                <w:szCs w:val="21"/>
              </w:rPr>
            </w:pPr>
            <w:r>
              <w:rPr>
                <w:rFonts w:hint="eastAsia" w:ascii="宋体" w:hAnsi="宋体" w:cs="宋体"/>
                <w:kern w:val="0"/>
                <w:szCs w:val="21"/>
              </w:rPr>
              <w:t>邮政编码</w:t>
            </w:r>
          </w:p>
        </w:tc>
        <w:tc>
          <w:tcPr>
            <w:tcW w:w="2415" w:type="dxa"/>
            <w:vAlign w:val="center"/>
          </w:tcPr>
          <w:p>
            <w:pPr>
              <w:jc w:val="center"/>
              <w:rPr>
                <w:rFonts w:ascii="宋体" w:hAnsi="宋体" w:cs="宋体"/>
                <w:kern w:val="0"/>
                <w:szCs w:val="21"/>
              </w:rPr>
            </w:pPr>
            <w:r>
              <w:rPr>
                <w:rFonts w:hint="eastAsia" w:ascii="宋体" w:hAnsi="宋体" w:cs="宋体"/>
                <w:kern w:val="0"/>
                <w:sz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770" w:hRule="atLeast"/>
          <w:jc w:val="center"/>
        </w:trPr>
        <w:tc>
          <w:tcPr>
            <w:tcW w:w="718" w:type="dxa"/>
            <w:vMerge w:val="continue"/>
            <w:vAlign w:val="center"/>
          </w:tcPr>
          <w:p>
            <w:pPr>
              <w:widowControl/>
              <w:jc w:val="center"/>
              <w:rPr>
                <w:rFonts w:ascii="宋体" w:hAnsi="宋体" w:cs="宋体"/>
                <w:kern w:val="0"/>
                <w:szCs w:val="21"/>
              </w:rPr>
            </w:pPr>
          </w:p>
        </w:tc>
        <w:tc>
          <w:tcPr>
            <w:tcW w:w="1350" w:type="dxa"/>
            <w:tcMar>
              <w:top w:w="0" w:type="dxa"/>
              <w:left w:w="108" w:type="dxa"/>
              <w:bottom w:w="0" w:type="dxa"/>
              <w:right w:w="108" w:type="dxa"/>
            </w:tcMar>
            <w:vAlign w:val="center"/>
          </w:tcPr>
          <w:p>
            <w:pPr>
              <w:jc w:val="center"/>
              <w:rPr>
                <w:rFonts w:ascii="宋体" w:hAnsi="宋体" w:cs="宋体"/>
                <w:kern w:val="0"/>
                <w:szCs w:val="21"/>
              </w:rPr>
            </w:pPr>
            <w:r>
              <w:rPr>
                <w:rFonts w:hint="eastAsia" w:ascii="宋体" w:hAnsi="宋体" w:cs="宋体"/>
                <w:kern w:val="0"/>
                <w:szCs w:val="21"/>
              </w:rPr>
              <w:t>联系人</w:t>
            </w:r>
          </w:p>
        </w:tc>
        <w:tc>
          <w:tcPr>
            <w:tcW w:w="3600" w:type="dxa"/>
            <w:gridSpan w:val="2"/>
            <w:tcMar>
              <w:top w:w="0" w:type="dxa"/>
              <w:left w:w="108" w:type="dxa"/>
              <w:bottom w:w="0" w:type="dxa"/>
              <w:right w:w="108" w:type="dxa"/>
            </w:tcMar>
            <w:vAlign w:val="center"/>
          </w:tcPr>
          <w:p>
            <w:pPr>
              <w:rPr>
                <w:rFonts w:ascii="宋体" w:hAnsi="宋体" w:cs="宋体"/>
                <w:kern w:val="0"/>
                <w:szCs w:val="21"/>
              </w:rPr>
            </w:pPr>
            <w:r>
              <w:rPr>
                <w:rFonts w:hint="eastAsia" w:ascii="仿宋" w:hAnsi="仿宋" w:eastAsia="仿宋" w:cs="仿宋"/>
                <w:sz w:val="24"/>
              </w:rPr>
              <w:t>黎志明</w:t>
            </w:r>
          </w:p>
        </w:tc>
        <w:tc>
          <w:tcPr>
            <w:tcW w:w="1637" w:type="dxa"/>
            <w:gridSpan w:val="2"/>
            <w:vAlign w:val="center"/>
          </w:tcPr>
          <w:p>
            <w:pPr>
              <w:jc w:val="center"/>
              <w:rPr>
                <w:rFonts w:ascii="宋体" w:hAnsi="宋体" w:cs="宋体"/>
                <w:kern w:val="0"/>
                <w:szCs w:val="21"/>
              </w:rPr>
            </w:pPr>
            <w:r>
              <w:rPr>
                <w:rFonts w:hint="eastAsia" w:ascii="宋体" w:hAnsi="宋体" w:cs="宋体"/>
                <w:kern w:val="0"/>
                <w:szCs w:val="21"/>
              </w:rPr>
              <w:t>联系电话</w:t>
            </w:r>
          </w:p>
        </w:tc>
        <w:tc>
          <w:tcPr>
            <w:tcW w:w="2415" w:type="dxa"/>
            <w:vAlign w:val="center"/>
          </w:tcPr>
          <w:p>
            <w:pPr>
              <w:jc w:val="center"/>
              <w:rPr>
                <w:rFonts w:ascii="宋体" w:hAnsi="宋体" w:cs="宋体"/>
                <w:kern w:val="0"/>
                <w:szCs w:val="21"/>
              </w:rPr>
            </w:pPr>
            <w:r>
              <w:rPr>
                <w:rFonts w:hint="eastAsia" w:ascii="仿宋" w:hAnsi="仿宋" w:eastAsia="仿宋" w:cs="仿宋"/>
                <w:sz w:val="24"/>
              </w:rPr>
              <w:t>13929595333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1786" w:hRule="atLeast"/>
          <w:jc w:val="center"/>
        </w:trPr>
        <w:tc>
          <w:tcPr>
            <w:tcW w:w="718" w:type="dxa"/>
            <w:tcMar>
              <w:top w:w="0" w:type="dxa"/>
              <w:left w:w="108" w:type="dxa"/>
              <w:bottom w:w="0" w:type="dxa"/>
              <w:right w:w="108" w:type="dxa"/>
            </w:tcMar>
            <w:textDirection w:val="tbRlV"/>
            <w:vAlign w:val="center"/>
          </w:tcPr>
          <w:p>
            <w:pPr>
              <w:widowControl/>
              <w:ind w:left="113" w:right="113"/>
              <w:jc w:val="center"/>
              <w:rPr>
                <w:rFonts w:ascii="宋体" w:hAnsi="宋体" w:cs="宋体"/>
                <w:kern w:val="0"/>
                <w:szCs w:val="21"/>
              </w:rPr>
            </w:pPr>
            <w:r>
              <w:rPr>
                <w:rFonts w:hint="eastAsia" w:ascii="宋体" w:hAnsi="宋体" w:cs="宋体"/>
                <w:kern w:val="0"/>
                <w:szCs w:val="21"/>
              </w:rPr>
              <w:t>代理人</w:t>
            </w:r>
            <w:r>
              <w:rPr>
                <w:rFonts w:ascii="宋体" w:hAnsi="宋体" w:cs="宋体"/>
                <w:kern w:val="0"/>
                <w:szCs w:val="21"/>
              </w:rPr>
              <w:t>确认</w:t>
            </w:r>
          </w:p>
          <w:p>
            <w:pPr>
              <w:widowControl/>
              <w:ind w:left="113" w:right="113"/>
              <w:jc w:val="center"/>
              <w:rPr>
                <w:rFonts w:ascii="宋体" w:hAnsi="宋体" w:cs="宋体"/>
                <w:kern w:val="0"/>
                <w:szCs w:val="21"/>
              </w:rPr>
            </w:pPr>
            <w:r>
              <w:rPr>
                <w:rFonts w:ascii="宋体" w:hAnsi="宋体" w:cs="宋体"/>
                <w:kern w:val="0"/>
                <w:szCs w:val="21"/>
              </w:rPr>
              <w:t>当事人</w:t>
            </w:r>
            <w:r>
              <w:rPr>
                <w:rFonts w:hint="eastAsia" w:ascii="宋体" w:hAnsi="宋体" w:cs="宋体"/>
                <w:kern w:val="0"/>
                <w:szCs w:val="21"/>
              </w:rPr>
              <w:t>／诉讼</w:t>
            </w:r>
          </w:p>
        </w:tc>
        <w:tc>
          <w:tcPr>
            <w:tcW w:w="9002" w:type="dxa"/>
            <w:gridSpan w:val="6"/>
            <w:tcMar>
              <w:top w:w="0" w:type="dxa"/>
              <w:left w:w="108" w:type="dxa"/>
              <w:bottom w:w="0" w:type="dxa"/>
              <w:right w:w="108" w:type="dxa"/>
            </w:tcMar>
          </w:tcPr>
          <w:p>
            <w:pPr>
              <w:adjustRightInd w:val="0"/>
              <w:snapToGrid w:val="0"/>
              <w:ind w:firstLine="420" w:firstLineChars="200"/>
              <w:rPr>
                <w:rFonts w:ascii="宋体" w:hAnsi="宋体"/>
                <w:sz w:val="13"/>
                <w:szCs w:val="13"/>
              </w:rPr>
            </w:pPr>
            <w:r>
              <w:rPr>
                <w:rFonts w:hint="eastAsia" w:ascii="宋体" w:hAnsi="宋体"/>
                <w:szCs w:val="21"/>
              </w:rPr>
              <w:t>我已经阅读了本《确认书》的告知事项，同意以</w:t>
            </w:r>
            <w:r>
              <w:rPr>
                <w:rFonts w:hint="eastAsia" w:ascii="宋体" w:hAnsi="宋体"/>
                <w:b/>
                <w:szCs w:val="21"/>
              </w:rPr>
              <w:t>当事人□/诉讼代理人</w:t>
            </w:r>
            <w:r>
              <w:rPr>
                <w:rFonts w:hint="eastAsia" w:ascii="宋体" w:hAnsi="宋体"/>
                <w:b/>
                <w:szCs w:val="21"/>
              </w:rPr>
              <w:sym w:font="Wingdings 2" w:char="0052"/>
            </w:r>
            <w:r>
              <w:rPr>
                <w:rFonts w:hint="eastAsia" w:ascii="宋体" w:hAnsi="宋体"/>
                <w:szCs w:val="21"/>
              </w:rPr>
              <w:t>的专用电子邮箱作为接收诉讼文书的送达地址，同意以</w:t>
            </w:r>
            <w:r>
              <w:rPr>
                <w:rFonts w:hint="eastAsia" w:ascii="宋体" w:hAnsi="宋体"/>
                <w:b/>
                <w:szCs w:val="21"/>
              </w:rPr>
              <w:t>当事人□/诉讼代理人</w:t>
            </w:r>
            <w:r>
              <w:rPr>
                <w:rFonts w:hint="eastAsia" w:ascii="宋体" w:hAnsi="宋体"/>
                <w:b/>
                <w:szCs w:val="21"/>
              </w:rPr>
              <w:sym w:font="Wingdings 2" w:char="0052"/>
            </w:r>
            <w:r>
              <w:rPr>
                <w:rFonts w:hint="eastAsia" w:ascii="宋体" w:hAnsi="宋体"/>
                <w:szCs w:val="21"/>
              </w:rPr>
              <w:t>的专用电子邮箱作为接收诉讼文书的备选送达地址；同意以邮寄送达地址作为接收诉讼文书和判决书/调解书/裁定书的送达地址。</w:t>
            </w:r>
          </w:p>
          <w:p>
            <w:pPr>
              <w:adjustRightInd w:val="0"/>
              <w:snapToGrid w:val="0"/>
              <w:ind w:firstLine="260" w:firstLineChars="200"/>
              <w:rPr>
                <w:rFonts w:ascii="宋体" w:hAnsi="宋体"/>
                <w:sz w:val="13"/>
                <w:szCs w:val="13"/>
              </w:rPr>
            </w:pPr>
          </w:p>
          <w:p>
            <w:pPr>
              <w:adjustRightInd w:val="0"/>
              <w:snapToGrid w:val="0"/>
              <w:ind w:firstLine="5040" w:firstLineChars="2400"/>
              <w:rPr>
                <w:rFonts w:ascii="宋体" w:hAnsi="宋体"/>
                <w:sz w:val="13"/>
                <w:szCs w:val="13"/>
              </w:rPr>
            </w:pPr>
            <w:r>
              <w:rPr>
                <w:rFonts w:hint="eastAsia" w:ascii="宋体" w:hAnsi="宋体"/>
                <w:szCs w:val="21"/>
              </w:rPr>
              <w:t>（签 章）</w:t>
            </w:r>
          </w:p>
          <w:p>
            <w:pPr>
              <w:adjustRightInd w:val="0"/>
              <w:snapToGrid w:val="0"/>
              <w:ind w:firstLine="3250" w:firstLineChars="2500"/>
              <w:rPr>
                <w:rFonts w:ascii="宋体" w:hAnsi="宋体"/>
                <w:sz w:val="13"/>
                <w:szCs w:val="13"/>
                <w:u w:val="single"/>
              </w:rPr>
            </w:pPr>
          </w:p>
          <w:p>
            <w:pPr>
              <w:widowControl/>
              <w:jc w:val="left"/>
              <w:rPr>
                <w:rFonts w:hint="eastAsia" w:ascii="宋体" w:hAnsi="宋体" w:eastAsia="宋体" w:cs="宋体"/>
                <w:kern w:val="0"/>
                <w:szCs w:val="21"/>
                <w:lang w:eastAsia="zh-CN"/>
              </w:rPr>
            </w:pPr>
            <w:r>
              <w:rPr>
                <w:rFonts w:hint="eastAsia" w:ascii="宋体" w:hAnsi="宋体"/>
                <w:szCs w:val="21"/>
              </w:rPr>
              <w:t xml:space="preserve">                                                        </w:t>
            </w:r>
            <w:r>
              <w:rPr>
                <w:rFonts w:hint="eastAsia" w:ascii="宋体" w:hAnsi="宋体"/>
                <w:color w:val="FF0000"/>
                <w:szCs w:val="21"/>
              </w:rPr>
              <w:t xml:space="preserve">   </w:t>
            </w:r>
            <w:r>
              <w:rPr>
                <w:rFonts w:hint="eastAsia" w:ascii="宋体" w:hAnsi="宋体"/>
                <w:color w:val="FF0000"/>
                <w:szCs w:val="21"/>
                <w:lang w:val="en-US" w:eastAsia="zh-CN"/>
              </w:rPr>
              <w:t>起诉日期</w:t>
            </w:r>
          </w:p>
        </w:tc>
      </w:tr>
      <w:bookmarkEnd w:id="0"/>
    </w:tbl>
    <w:p>
      <w:pPr>
        <w:widowControl/>
        <w:spacing w:line="360" w:lineRule="auto"/>
        <w:jc w:val="left"/>
        <w:rPr>
          <w:rFonts w:hint="eastAsia" w:ascii="宋体" w:hAnsi="宋体"/>
          <w:color w:val="000000"/>
          <w:kern w:val="0"/>
          <w:sz w:val="24"/>
        </w:rPr>
      </w:pPr>
      <w:r>
        <w:rPr>
          <w:rFonts w:hint="eastAsia"/>
          <w:color w:val="000000"/>
          <w:kern w:val="0"/>
          <w:sz w:val="32"/>
          <w:szCs w:val="32"/>
        </w:rPr>
        <w:t>附：相关法律依据：</w:t>
      </w:r>
    </w:p>
    <w:p>
      <w:pPr>
        <w:widowControl/>
        <w:spacing w:line="360" w:lineRule="auto"/>
        <w:ind w:firstLine="480" w:firstLineChars="200"/>
        <w:jc w:val="left"/>
        <w:rPr>
          <w:rFonts w:hint="eastAsia"/>
          <w:b/>
          <w:color w:val="000000"/>
          <w:kern w:val="0"/>
          <w:sz w:val="24"/>
        </w:rPr>
      </w:pPr>
      <w:r>
        <w:rPr>
          <w:rFonts w:hint="eastAsia" w:ascii="宋体" w:hAnsi="宋体"/>
          <w:color w:val="000000"/>
          <w:kern w:val="0"/>
          <w:sz w:val="24"/>
        </w:rPr>
        <w:t>一、</w:t>
      </w:r>
      <w:r>
        <w:rPr>
          <w:rFonts w:hint="eastAsia" w:ascii="宋体" w:hAnsi="宋体"/>
          <w:b/>
          <w:color w:val="000000"/>
          <w:kern w:val="0"/>
          <w:sz w:val="24"/>
        </w:rPr>
        <w:t>《中华人民共和国民事诉讼法》</w:t>
      </w:r>
    </w:p>
    <w:p>
      <w:pPr>
        <w:widowControl/>
        <w:spacing w:line="360" w:lineRule="auto"/>
        <w:ind w:firstLine="480" w:firstLineChars="200"/>
        <w:jc w:val="left"/>
        <w:rPr>
          <w:rFonts w:hint="eastAsia"/>
          <w:color w:val="000099"/>
          <w:kern w:val="0"/>
          <w:sz w:val="24"/>
        </w:rPr>
      </w:pPr>
      <w:r>
        <w:rPr>
          <w:rFonts w:hint="eastAsia" w:ascii="宋体" w:hAnsi="宋体"/>
          <w:color w:val="000000"/>
          <w:kern w:val="0"/>
          <w:sz w:val="24"/>
        </w:rPr>
        <w:t>第八十七条  经受送达人同意，人民法院可以采用传真、电子邮件等能够确认其收悉的方式送达诉讼文书，但判决、裁定书、调解书除外。</w:t>
      </w:r>
    </w:p>
    <w:p>
      <w:pPr>
        <w:widowControl/>
        <w:spacing w:line="360" w:lineRule="auto"/>
        <w:ind w:right="-153" w:rightChars="-73" w:firstLine="420"/>
        <w:jc w:val="left"/>
        <w:rPr>
          <w:rFonts w:hint="eastAsia"/>
          <w:color w:val="000000"/>
          <w:spacing w:val="-8"/>
          <w:kern w:val="0"/>
          <w:sz w:val="24"/>
        </w:rPr>
      </w:pPr>
      <w:r>
        <w:rPr>
          <w:rFonts w:hint="eastAsia" w:ascii="宋体" w:hAnsi="宋体"/>
          <w:color w:val="000000"/>
          <w:kern w:val="0"/>
          <w:sz w:val="24"/>
        </w:rPr>
        <w:t>采用前款方式送达的，以传真、电子邮件等到达受送达人特定系统的日期为送达日期。</w:t>
      </w:r>
    </w:p>
    <w:p>
      <w:pPr>
        <w:widowControl/>
        <w:spacing w:line="360" w:lineRule="auto"/>
        <w:ind w:left="479" w:leftChars="228" w:right="-153" w:rightChars="-73"/>
        <w:rPr>
          <w:rFonts w:hint="eastAsia"/>
          <w:b/>
          <w:color w:val="000000"/>
          <w:kern w:val="0"/>
          <w:sz w:val="24"/>
        </w:rPr>
      </w:pPr>
      <w:r>
        <w:rPr>
          <w:rFonts w:hint="eastAsia" w:ascii="宋体" w:hAnsi="宋体"/>
          <w:color w:val="000000"/>
          <w:kern w:val="0"/>
          <w:sz w:val="24"/>
        </w:rPr>
        <w:t>二、</w:t>
      </w:r>
      <w:r>
        <w:rPr>
          <w:rFonts w:hint="eastAsia" w:ascii="宋体" w:hAnsi="宋体"/>
          <w:b/>
          <w:color w:val="000000"/>
          <w:kern w:val="0"/>
          <w:sz w:val="24"/>
        </w:rPr>
        <w:t>最高人民法院《关于以法院专递方式邮寄送达民事诉讼文书的若干规定》</w:t>
      </w:r>
    </w:p>
    <w:p>
      <w:pPr>
        <w:widowControl/>
        <w:spacing w:line="360" w:lineRule="auto"/>
        <w:ind w:right="-153" w:rightChars="-73" w:firstLine="480" w:firstLineChars="200"/>
        <w:rPr>
          <w:rFonts w:hint="eastAsia" w:ascii="宋体" w:hAnsi="宋体"/>
          <w:color w:val="000000"/>
          <w:kern w:val="0"/>
          <w:sz w:val="24"/>
        </w:rPr>
      </w:pPr>
      <w:r>
        <w:rPr>
          <w:rFonts w:hint="eastAsia" w:ascii="宋体" w:hAnsi="宋体"/>
          <w:color w:val="000000"/>
          <w:kern w:val="0"/>
          <w:sz w:val="24"/>
        </w:rPr>
        <w:t xml:space="preserve">第二条  以法院专递方式邮寄送达民事诉讼文书的，其送达与人民法院送达具有同等法律效力。 </w:t>
      </w:r>
    </w:p>
    <w:p>
      <w:pPr>
        <w:widowControl/>
        <w:spacing w:line="360" w:lineRule="auto"/>
        <w:ind w:right="-153" w:rightChars="-73" w:firstLine="480" w:firstLineChars="200"/>
        <w:rPr>
          <w:rFonts w:hint="eastAsia"/>
          <w:color w:val="000000"/>
          <w:kern w:val="0"/>
          <w:sz w:val="24"/>
        </w:rPr>
      </w:pPr>
      <w:r>
        <w:rPr>
          <w:rFonts w:hint="eastAsia" w:ascii="宋体" w:hAnsi="宋体"/>
          <w:color w:val="000000"/>
          <w:kern w:val="0"/>
          <w:sz w:val="24"/>
        </w:rPr>
        <w:t>第三条  当事人起诉或者答辩时应当向人民法院提供或者确认自己准确的送达地址，并填写送达地址确认书。当事人拒绝提供的，人民法院应当告知其拒不提供送达地址的不利后果，并记入笔录。</w:t>
      </w:r>
    </w:p>
    <w:p>
      <w:pPr>
        <w:widowControl/>
        <w:spacing w:line="360" w:lineRule="auto"/>
        <w:ind w:right="-153" w:rightChars="-73" w:firstLine="480" w:firstLineChars="200"/>
        <w:rPr>
          <w:rFonts w:hint="eastAsia"/>
          <w:color w:val="000000"/>
          <w:kern w:val="0"/>
          <w:sz w:val="24"/>
        </w:rPr>
      </w:pPr>
      <w:r>
        <w:rPr>
          <w:rFonts w:hint="eastAsia" w:ascii="宋体" w:hAnsi="宋体"/>
          <w:color w:val="000000"/>
          <w:kern w:val="0"/>
          <w:sz w:val="24"/>
        </w:rPr>
        <w:t>第十一条  因受送达人自己提供或者确认的送达地址不准确、拒不提供送达地址、送达地址变更未及时告知人民法院、受送达人本人或者受送达人指定的代收人拒绝签收，导致诉讼文书未能被受送达人实际接收的，文书退回之日视为送达之日。</w:t>
      </w:r>
    </w:p>
    <w:p>
      <w:pPr>
        <w:widowControl/>
        <w:spacing w:line="360" w:lineRule="auto"/>
        <w:ind w:firstLine="448" w:firstLineChars="200"/>
        <w:jc w:val="left"/>
        <w:rPr>
          <w:rFonts w:hint="eastAsia"/>
          <w:sz w:val="24"/>
        </w:rPr>
      </w:pPr>
      <w:r>
        <w:rPr>
          <w:rFonts w:hint="eastAsia" w:ascii="宋体" w:hAnsi="宋体"/>
          <w:color w:val="000000"/>
          <w:spacing w:val="-8"/>
          <w:kern w:val="0"/>
          <w:sz w:val="24"/>
        </w:rPr>
        <w:t>受送达人能够证明自己在诉讼文书送达的过程中没有过错的，不适用前款规定。</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B39"/>
    <w:rsid w:val="000B2B39"/>
    <w:rsid w:val="00414519"/>
    <w:rsid w:val="00774986"/>
    <w:rsid w:val="04C0267A"/>
    <w:rsid w:val="238619FD"/>
    <w:rsid w:val="52265DF6"/>
    <w:rsid w:val="5C634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xitongtiandi.net</Company>
  <Pages>1</Pages>
  <Words>154</Words>
  <Characters>879</Characters>
  <Lines>7</Lines>
  <Paragraphs>2</Paragraphs>
  <TotalTime>0</TotalTime>
  <ScaleCrop>false</ScaleCrop>
  <LinksUpToDate>false</LinksUpToDate>
  <CharactersWithSpaces>1031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2020-01-21T04:16:00Z</dcterms:created>
  <dc:creator>dell</dc:creator>
  <cp:lastModifiedBy>anwuu-zouweikun</cp:lastModifiedBy>
  <dcterms:modified xsi:type="dcterms:W3CDTF">2020-05-04T10:13:13Z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