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4. Results</w:t>
      </w:r>
    </w:p>
    <w:p>
      <w:pPr>
        <w:spacing w:after="160" w:line="300"/>
      </w:pPr>
      <w:r>
        <w:t xml:space="preserve">The full analysis covers 840 evaluations balanced across two ground-truth genders (420 male, 420 female) and five ground-truth races (168 each for asian, black, hispanic, native, and white), under three wording conditions and three qualification tiers. The overall selection rate is 33.7%.</w:t>
      </w:r>
    </w:p>
    <w:p>
      <w:pPr>
        <w:spacing w:after="160" w:line="300"/>
      </w:pPr>
      <w:r>
        <w:rPr>
          <w:b/>
          <w:bCs/>
        </w:rPr>
        <w:t xml:space="preserve">Gender. </w:t>
      </w:r>
      <w:r>
        <w:t xml:space="preserve">Selection rate is 34.1% for male and 33.3% for female (gap = 0.7 percentage points). The female-to-male impact ratio is 0.98, well above the four-fifths threshold. Bootstrap 95% confidence intervals cross the no-difference line for the selection-rate gap (−</w:t>
      </w:r>
      <w:r>
        <w:t xml:space="preserve">0.074 to 0.055), the overall-score gap (−</w:t>
      </w:r>
      <w:r>
        <w:t xml:space="preserve">5.47 to 2.12), and the impact ratio (0.80 to 1.18). A two-sample t-test on overall_score is not significant.</w:t>
      </w:r>
    </w:p>
    <w:p>
      <w:pPr>
        <w:spacing w:after="120" w:before="120"/>
        <w:jc w:val="center"/>
      </w:pPr>
      <w:r>
        <w:rPr>
          <w:i/>
          <w:iCs/>
          <w:color w:val="808080"/>
        </w:rPr>
        <w:t xml:space="preserve">[INSERT Figure 2: Selection Rate by Name Condition]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Figure 2: Selection rate by name condition (male-coded vs female-coded).</w:t>
      </w:r>
    </w:p>
    <w:p>
      <w:pPr>
        <w:spacing w:after="160" w:line="300"/>
      </w:pPr>
      <w:r>
        <w:rPr>
          <w:b/>
          <w:bCs/>
        </w:rPr>
        <w:t xml:space="preserve">Race. </w:t>
      </w:r>
      <w:r>
        <w:t xml:space="preserve">Selection rates range from 30.4% (white, lowest) to 36.9% (native, highest); asian and black tie at 33.9% and hispanic at 33.3%. All five groups pass the four-fifths rule under either the highest-rate or white-anchored reference. Mean overall score varies modestly by race (43.2 for white to 47.7 for native).</w:t>
      </w:r>
    </w:p>
    <w:p>
      <w:pPr>
        <w:spacing w:after="120" w:before="120"/>
        <w:jc w:val="center"/>
      </w:pPr>
      <w:r>
        <w:rPr>
          <w:i/>
          <w:iCs/>
          <w:color w:val="808080"/>
        </w:rPr>
        <w:t xml:space="preserve">[INSERT Figure 3: Mean Overall Score by Race]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Figure 3: Mean overall score by ground-truth race.</w:t>
      </w:r>
    </w:p>
    <w:p>
      <w:pPr>
        <w:spacing w:after="160" w:line="300"/>
      </w:pPr>
      <w:r>
        <w:rPr>
          <w:b/>
          <w:bCs/>
        </w:rPr>
        <w:t xml:space="preserve">Controlled regression. </w:t>
      </w:r>
      <w:r>
        <w:t xml:space="preserve">OLS on overall_score and logistic regression on hire_decision, both controlling for wording_condition, qualification_tier, and format_condition, find no statistically significant demographic coefficient at α = 0.05. The strongest non-demographic effect is strong-technical wording, which raises overall score by 7.62 points (95% CI 2.51 to 12.73, p = 0.004) regardless of demographic group.</w:t>
      </w:r>
    </w:p>
    <w:p>
      <w:pPr>
        <w:spacing w:after="160" w:line="300"/>
      </w:pPr>
      <w:r>
        <w:rPr>
          <w:b/>
          <w:bCs/>
        </w:rPr>
        <w:t xml:space="preserve">Interaction effects. </w:t>
      </w:r>
      <w:r>
        <w:t xml:space="preserve">The gender × wording interaction is not significant. However, the race × wording logit on hire_decision surfaces two significant negative interactions, both for the strong-leadership prompt: white × strong_leadership (β = −</w:t>
      </w:r>
      <w:r>
        <w:t xml:space="preserve">1.44, p = 0.028) and black × strong_leadership (β = −</w:t>
      </w:r>
      <w:r>
        <w:t xml:space="preserve">1.19, p = 0.038). The model's response to leadership-emphasizing prompts therefore varies meaningfully across race even though aggregate race selection rates remain within the four-fifths threshold.</w:t>
      </w:r>
    </w:p>
    <w:p>
      <w:pPr>
        <w:spacing w:after="120" w:before="120"/>
        <w:jc w:val="center"/>
      </w:pPr>
      <w:r>
        <w:rPr>
          <w:i/>
          <w:iCs/>
          <w:color w:val="808080"/>
        </w:rPr>
        <w:t xml:space="preserve">[INSERT Figure 4: Mean Leadership Score by Wording and Name Condition]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Figure 4: Mean leadership score by wording and name condition.</w:t>
      </w:r>
    </w:p>
    <w:p>
      <w:pPr>
        <w:spacing w:after="160" w:line="300"/>
      </w:pPr>
      <w:r>
        <w:rPr>
          <w:b/>
          <w:bCs/>
        </w:rPr>
        <w:t xml:space="preserve">Variance. </w:t>
      </w:r>
      <w:r>
        <w:t xml:space="preserve">Levene's tests find no evidence of unequal score spread by gender or race for any sub-score (all p &gt; 0.11), indicating the model is approximately scale-stable across groups in this sample.</w:t>
      </w:r>
    </w:p>
    <w:p>
      <w:pPr>
        <w:spacing w:after="160" w:line="300"/>
      </w:pPr>
      <w:r>
        <w:rPr>
          <w:b/>
          <w:bCs/>
        </w:rPr>
        <w:t xml:space="preserve">Diagnostic: perceived vs ground-truth demographics. </w:t>
      </w:r>
      <w:r>
        <w:t xml:space="preserve">To complement the primary ground-truth analysis, we compare the model's perception of demographics against ground truth. The name cue (name_condition) maps perfectly onto gender_true by construction. The race probe (race_predicted), in contrast, achieves only 64.4% overall accuracy and exhibits a categorical failure: per-class recall is 0.84 (asian), 0.85 (black), 0.98 (hispanic), 0.58 (white), and 0.00 (native). The predictor lacks a "native" class, so all 168 Native resumes are absorbed into other buckets, primarily "unknown" (84) and "white" (37). This representational failure is independent of the outcome-fairness numbers above but would distort any downstream system that conditions on perceived rather than actual race.</w:t>
      </w:r>
    </w:p>
    <w:p>
      <w:pPr>
        <w:spacing w:after="120" w:before="120"/>
        <w:jc w:val="center"/>
      </w:pPr>
      <w:r>
        <w:rPr>
          <w:i/>
          <w:iCs/>
          <w:color w:val="808080"/>
        </w:rPr>
        <w:t xml:space="preserve">[INSERT Figure 5: Race Prediction vs Ground Truth (Confusion Matrix)]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Figure 5: Race prediction (race_predicted) vs ground truth (race_true).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4 - Results</dc:title>
  <dc:creator>Analysis Pipeline</dc:creator>
  <cp:lastModifiedBy>Un-named</cp:lastModifiedBy>
  <cp:revision>1</cp:revision>
  <dcterms:created xsi:type="dcterms:W3CDTF">2026-05-10T21:26:19.987Z</dcterms:created>
  <dcterms:modified xsi:type="dcterms:W3CDTF">2026-05-10T21:26:19.987Z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