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57"/>
      </w:pPr>
      <w:r>
        <w:rPr>
          <w:rFonts w:ascii="Helvetica Neue" w:hAnsi="Helvetica Neue" w:cs="Helvetica Neue"/>
          <w:sz w:val="53"/>
          <w:sz-cs w:val="53"/>
          <w:b/>
          <w:spacing w:val="0"/>
          <w:color w:val="0E0E0E"/>
        </w:rPr>
        <w:t xml:space="preserve">Rybbit EU Standard Contractual Clauses Addendum</w:t>
      </w:r>
    </w:p>
    <w:p>
      <w:pPr>
        <w:spacing w:after="280"/>
      </w:pPr>
      <w:r>
        <w:rPr>
          <w:rFonts w:ascii="Helvetica Neue" w:hAnsi="Helvetica Neue" w:cs="Helvetica Neue"/>
          <w:sz w:val="28"/>
          <w:sz-cs w:val="28"/>
          <w:b/>
          <w:spacing w:val="0"/>
          <w:color w:val="0E0E0E"/>
        </w:rPr>
        <w:t xml:space="preserve">Draft for legal review — not yet executed.</w:t>
      </w:r>
      <w:r>
        <w:rPr>
          <w:rFonts w:ascii="Helvetica Neue" w:hAnsi="Helvetica Neue" w:cs="Helvetica Neue"/>
          <w:sz w:val="28"/>
          <w:sz-cs w:val="28"/>
          <w:spacing w:val="0"/>
          <w:color w:val="0E0E0E"/>
        </w:rPr>
        <w:t xml:space="preserve"> This document completes the European Commission Standard Contractual Clauses for the Rybbit hosted service using facts currently documented by Rybbit. It becomes binding only when it is validly incorporated into the agreement with a Customer or signed by both parties. Bracketed review notes must be resolved before publication.</w:t>
      </w:r>
      <w:r>
        <w:rPr>
          <w:rFonts w:ascii="Helvetica Neue" w:hAnsi="Helvetica Neue" w:cs="Helvetica Neue"/>
          <w:sz w:val="28"/>
          <w:sz-cs w:val="28"/>
          <w:spacing w:val="0"/>
          <w:color w:val="0E0E0E"/>
        </w:rPr>
        <w:t xml:space="preserve"/>
      </w:r>
    </w:p>
    <w:p>
      <w:pPr>
        <w:spacing w:after="280"/>
      </w:pPr>
      <w:r>
        <w:rPr>
          <w:rFonts w:ascii="Helvetica Neue" w:hAnsi="Helvetica Neue" w:cs="Helvetica Neue"/>
          <w:sz w:val="28"/>
          <w:sz-cs w:val="28"/>
          <w:spacing w:val="0"/>
          <w:color w:val="0E0E0E"/>
        </w:rPr>
        <w:t xml:space="preserve">Effective date: The date on which the Customer accepts or signs the Agreement that expressly incorporates this Addendum.</w:t>
      </w:r>
    </w:p>
    <w:p>
      <w:pPr>
        <w:spacing w:after="280"/>
      </w:pPr>
      <w:r>
        <w:rPr>
          <w:rFonts w:ascii="Helvetica Neue" w:hAnsi="Helvetica Neue" w:cs="Helvetica Neue"/>
          <w:sz w:val="28"/>
          <w:sz-cs w:val="28"/>
          <w:spacing w:val="0"/>
          <w:color w:val="0E0E0E"/>
        </w:rPr>
        <w:t xml:space="preserve">This EU Standard Contractual Clauses Addendum (the </w:t>
      </w:r>
      <w:r>
        <w:rPr>
          <w:rFonts w:ascii="Helvetica Neue" w:hAnsi="Helvetica Neue" w:cs="Helvetica Neue"/>
          <w:sz w:val="28"/>
          <w:sz-cs w:val="28"/>
          <w:b/>
          <w:spacing w:val="0"/>
          <w:color w:val="0E0E0E"/>
        </w:rPr>
        <w:t xml:space="preserve">SCC Addendum</w:t>
      </w:r>
      <w:r>
        <w:rPr>
          <w:rFonts w:ascii="Helvetica Neue" w:hAnsi="Helvetica Neue" w:cs="Helvetica Neue"/>
          <w:sz w:val="28"/>
          <w:sz-cs w:val="28"/>
          <w:spacing w:val="0"/>
          <w:color w:val="0E0E0E"/>
        </w:rPr>
        <w:t xml:space="preserve">) forms part of the agreement governing the Customer's use of the hosted Rybbit service (the </w:t>
      </w:r>
      <w:r>
        <w:rPr>
          <w:rFonts w:ascii="Helvetica Neue" w:hAnsi="Helvetica Neue" w:cs="Helvetica Neue"/>
          <w:sz w:val="28"/>
          <w:sz-cs w:val="28"/>
          <w:b/>
          <w:spacing w:val="0"/>
          <w:color w:val="0E0E0E"/>
        </w:rPr>
        <w:t xml:space="preserve">Agreement</w:t>
      </w:r>
      <w:r>
        <w:rPr>
          <w:rFonts w:ascii="Helvetica Neue" w:hAnsi="Helvetica Neue" w:cs="Helvetica Neue"/>
          <w:sz w:val="28"/>
          <w:sz-cs w:val="28"/>
          <w:spacing w:val="0"/>
          <w:color w:val="0E0E0E"/>
        </w:rPr>
        <w:t xml:space="preserve">) between the Customer and </w:t>
      </w:r>
      <w:r>
        <w:rPr>
          <w:rFonts w:ascii="Helvetica Neue" w:hAnsi="Helvetica Neue" w:cs="Helvetica Neue"/>
          <w:sz w:val="28"/>
          <w:sz-cs w:val="28"/>
          <w:b/>
          <w:spacing w:val="0"/>
          <w:color w:val="0E0E0E"/>
        </w:rPr>
        <w:t xml:space="preserve">Tomato.gg LLC</w:t>
      </w:r>
      <w:r>
        <w:rPr>
          <w:rFonts w:ascii="Helvetica Neue" w:hAnsi="Helvetica Neue" w:cs="Helvetica Neue"/>
          <w:sz w:val="28"/>
          <w:sz-cs w:val="28"/>
          <w:spacing w:val="0"/>
          <w:color w:val="0E0E0E"/>
        </w:rPr>
        <w:t xml:space="preserve">, doing business as Rybbit (</w:t>
      </w:r>
      <w:r>
        <w:rPr>
          <w:rFonts w:ascii="Helvetica Neue" w:hAnsi="Helvetica Neue" w:cs="Helvetica Neue"/>
          <w:sz w:val="28"/>
          <w:sz-cs w:val="28"/>
          <w:b/>
          <w:spacing w:val="0"/>
          <w:color w:val="0E0E0E"/>
        </w:rPr>
        <w:t xml:space="preserve">Rybbit</w:t>
      </w:r>
      <w:r>
        <w:rPr>
          <w:rFonts w:ascii="Helvetica Neue" w:hAnsi="Helvetica Neue" w:cs="Helvetica Neue"/>
          <w:sz w:val="28"/>
          <w:sz-cs w:val="28"/>
          <w:spacing w:val="0"/>
          <w:color w:val="0E0E0E"/>
        </w:rPr>
        <w:t xml:space="preserve">). Capitalized terms not defined here have the meanings given in the Agreement or the Standard Contractual Clauses.</w:t>
      </w:r>
    </w:p>
    <w:p>
      <w:pPr>
        <w:spacing w:after="331"/>
      </w:pPr>
      <w:r>
        <w:rPr>
          <w:rFonts w:ascii="Helvetica Neue" w:hAnsi="Helvetica Neue" w:cs="Helvetica Neue"/>
          <w:sz w:val="40"/>
          <w:sz-cs w:val="40"/>
          <w:b/>
          <w:spacing w:val="0"/>
          <w:color w:val="0E0E0E"/>
        </w:rPr>
        <w:t xml:space="preserve">1. Incorporation of the SCCs</w:t>
      </w:r>
    </w:p>
    <w:p>
      <w:pPr>
        <w:spacing w:after="280"/>
      </w:pPr>
      <w:r>
        <w:rPr>
          <w:rFonts w:ascii="Helvetica Neue" w:hAnsi="Helvetica Neue" w:cs="Helvetica Neue"/>
          <w:sz w:val="28"/>
          <w:sz-cs w:val="28"/>
          <w:spacing w:val="0"/>
          <w:color w:val="0E0E0E"/>
        </w:rPr>
        <w:t xml:space="preserve">For a transfer of personal data governed by Regulation (EU) 2016/679 (the </w:t>
      </w:r>
      <w:r>
        <w:rPr>
          <w:rFonts w:ascii="Helvetica Neue" w:hAnsi="Helvetica Neue" w:cs="Helvetica Neue"/>
          <w:sz w:val="28"/>
          <w:sz-cs w:val="28"/>
          <w:b/>
          <w:spacing w:val="0"/>
          <w:color w:val="0E0E0E"/>
        </w:rPr>
        <w:t xml:space="preserve">GDPR</w:t>
      </w:r>
      <w:r>
        <w:rPr>
          <w:rFonts w:ascii="Helvetica Neue" w:hAnsi="Helvetica Neue" w:cs="Helvetica Neue"/>
          <w:sz w:val="28"/>
          <w:sz-cs w:val="28"/>
          <w:spacing w:val="0"/>
          <w:color w:val="0E0E0E"/>
        </w:rPr>
        <w:t xml:space="preserve">) to Rybbit in the United States that is not covered by an adequacy decision or another valid transfer mechanism, the parties enter into and agree to be bound by the standard contractual clauses contained in the Annex to European Commission Implementing Decision (EU) 2021/914 of 4 June 2021 (the </w:t>
      </w:r>
      <w:r>
        <w:rPr>
          <w:rFonts w:ascii="Helvetica Neue" w:hAnsi="Helvetica Neue" w:cs="Helvetica Neue"/>
          <w:sz w:val="28"/>
          <w:sz-cs w:val="28"/>
          <w:b/>
          <w:spacing w:val="0"/>
          <w:color w:val="0E0E0E"/>
        </w:rPr>
        <w:t xml:space="preserve">SCCs</w:t>
      </w:r>
      <w:r>
        <w:rPr>
          <w:rFonts w:ascii="Helvetica Neue" w:hAnsi="Helvetica Neue" w:cs="Helvetica Neue"/>
          <w:sz w:val="28"/>
          <w:sz-cs w:val="28"/>
          <w:spacing w:val="0"/>
          <w:color w:val="0E0E0E"/>
        </w:rPr>
        <w:t xml:space="preserve">).</w:t>
      </w:r>
    </w:p>
    <w:p>
      <w:pPr>
        <w:spacing w:after="280"/>
      </w:pPr>
      <w:r>
        <w:rPr>
          <w:rFonts w:ascii="Helvetica Neue" w:hAnsi="Helvetica Neue" w:cs="Helvetica Neue"/>
          <w:sz w:val="28"/>
          <w:sz-cs w:val="28"/>
          <w:spacing w:val="0"/>
          <w:color w:val="0E0E0E"/>
        </w:rPr>
        <w:t xml:space="preserve">The official, unmodified English SCCs downloaded from the European Commission are stored with this draft at:</w:t>
      </w:r>
    </w:p>
    <w:p>
      <w:pPr>
        <w:spacing w:after="280"/>
      </w:pPr>
      <w:r>
        <w:rPr>
          <w:rFonts w:ascii="Menlo" w:hAnsi="Menlo" w:cs="Menlo"/>
          <w:sz w:val="24"/>
          <w:sz-cs w:val="24"/>
          <w:spacing w:val="0"/>
          <w:color w:val="0E0E0E"/>
        </w:rPr>
        <w:t xml:space="preserve">source/eu-standard-contractual-clauses-2021-official.doc</w:t>
      </w:r>
      <w:r>
        <w:rPr>
          <w:rFonts w:ascii="Helvetica Neue" w:hAnsi="Helvetica Neue" w:cs="Helvetica Neue"/>
          <w:sz w:val="28"/>
          <w:sz-cs w:val="28"/>
          <w:spacing w:val="0"/>
          <w:color w:val="0E0E0E"/>
        </w:rPr>
        <w:t xml:space="preserve"/>
      </w:r>
    </w:p>
    <w:p>
      <w:pPr>
        <w:spacing w:after="280"/>
      </w:pPr>
      <w:r>
        <w:rPr>
          <w:rFonts w:ascii="Helvetica Neue" w:hAnsi="Helvetica Neue" w:cs="Helvetica Neue"/>
          <w:sz w:val="28"/>
          <w:sz-cs w:val="28"/>
          <w:spacing w:val="0"/>
          <w:color w:val="0E0E0E"/>
        </w:rPr>
        <w:t xml:space="preserve">The SCCs are completed by Sections 2 through 6 of this SCC Addendum. If there is a conflict between the SCCs, this SCC Addendum, the DPA, and the Agreement, the documents prevail in that order.</w:t>
      </w:r>
    </w:p>
    <w:p>
      <w:pPr>
        <w:spacing w:after="280"/>
      </w:pPr>
      <w:r>
        <w:rPr>
          <w:rFonts w:ascii="Helvetica Neue" w:hAnsi="Helvetica Neue" w:cs="Helvetica Neue"/>
          <w:sz w:val="28"/>
          <w:sz-cs w:val="28"/>
          <w:spacing w:val="0"/>
          <w:color w:val="0E0E0E"/>
        </w:rPr>
        <w:t xml:space="preserve">This SCC Addendum does not itself determine whether Rybbit's relevant processing is directly subject to GDPR Article 3(2). </w:t>
      </w:r>
      <w:r>
        <w:rPr>
          <w:rFonts w:ascii="Helvetica Neue" w:hAnsi="Helvetica Neue" w:cs="Helvetica Neue"/>
          <w:sz w:val="28"/>
          <w:sz-cs w:val="28"/>
          <w:b/>
          <w:spacing w:val="0"/>
          <w:color w:val="0E0E0E"/>
        </w:rPr>
        <w:t xml:space="preserve">[LEGAL REVIEW REQUIRED: confirm that the 2021 SCCs may be used for each covered transfer, or adopt EU-U.S. Data Privacy Framework certification or another valid mechanism.]</w:t>
      </w:r>
      <w:r>
        <w:rPr>
          <w:rFonts w:ascii="Helvetica Neue" w:hAnsi="Helvetica Neue" w:cs="Helvetica Neue"/>
          <w:sz w:val="28"/>
          <w:sz-cs w:val="28"/>
          <w:spacing w:val="0"/>
          <w:color w:val="0E0E0E"/>
        </w:rPr>
        <w:t xml:space="preserve"/>
      </w:r>
    </w:p>
    <w:p>
      <w:pPr>
        <w:spacing w:after="331"/>
      </w:pPr>
      <w:r>
        <w:rPr>
          <w:rFonts w:ascii="Helvetica Neue" w:hAnsi="Helvetica Neue" w:cs="Helvetica Neue"/>
          <w:sz w:val="40"/>
          <w:sz-cs w:val="40"/>
          <w:b/>
          <w:spacing w:val="0"/>
          <w:color w:val="0E0E0E"/>
        </w:rPr>
        <w:t xml:space="preserve">2. Modules and clause selections</w:t>
      </w:r>
    </w:p>
    <w:p>
      <w:pPr>
        <w:spacing w:after="280"/>
      </w:pPr>
      <w:r>
        <w:rPr>
          <w:rFonts w:ascii="Helvetica Neue" w:hAnsi="Helvetica Neue" w:cs="Helvetica Neue"/>
          <w:sz w:val="28"/>
          <w:sz-cs w:val="28"/>
          <w:spacing w:val="0"/>
          <w:color w:val="0E0E0E"/>
        </w:rPr>
        <w:t xml:space="preserve">The following selections apply:</w:t>
      </w:r>
    </w:p>
    <w:p>
      <w:pPr>
        <w:ind w:left="720" w:first-line="-720"/>
      </w:pPr>
      <w:r>
        <w:rPr>
          <w:rFonts w:ascii="Helvetica Neue" w:hAnsi="Helvetica Neue" w:cs="Helvetica Neue"/>
          <w:sz w:val="28"/>
          <w:sz-cs w:val="28"/>
          <w:b/>
          <w:color w:val="0E0E0E"/>
        </w:rPr>
        <w:t xml:space="preserve"/>
        <w:tab/>
        <w:t xml:space="preserve">1</w:t>
        <w:tab/>
        <w:t xml:space="preserve"/>
      </w:r>
      <w:r>
        <w:rPr>
          <w:rFonts w:ascii="Helvetica Neue" w:hAnsi="Helvetica Neue" w:cs="Helvetica Neue"/>
          <w:sz w:val="28"/>
          <w:sz-cs w:val="28"/>
          <w:b/>
          <w:spacing w:val="0"/>
          <w:color w:val="0E0E0E"/>
        </w:rPr>
        <w:t xml:space="preserve">Module Two (controller to processor)</w:t>
      </w:r>
      <w:r>
        <w:rPr>
          <w:rFonts w:ascii="Helvetica Neue" w:hAnsi="Helvetica Neue" w:cs="Helvetica Neue"/>
          <w:sz w:val="28"/>
          <w:sz-cs w:val="28"/>
          <w:spacing w:val="0"/>
          <w:color w:val="0E0E0E"/>
        </w:rPr>
        <w:t xml:space="preserve"> applies where the Customer is a controller and Rybbit processes Customer Personal Data as its processor.</w:t>
      </w:r>
    </w:p>
    <w:p>
      <w:pPr>
        <w:ind w:left="720" w:first-line="-720"/>
      </w:pPr>
      <w:r>
        <w:rPr>
          <w:rFonts w:ascii="Helvetica Neue" w:hAnsi="Helvetica Neue" w:cs="Helvetica Neue"/>
          <w:sz w:val="28"/>
          <w:sz-cs w:val="28"/>
          <w:b/>
          <w:color w:val="0E0E0E"/>
        </w:rPr>
        <w:t xml:space="preserve"/>
        <w:tab/>
        <w:t xml:space="preserve">2</w:t>
        <w:tab/>
        <w:t xml:space="preserve"/>
      </w:r>
      <w:r>
        <w:rPr>
          <w:rFonts w:ascii="Helvetica Neue" w:hAnsi="Helvetica Neue" w:cs="Helvetica Neue"/>
          <w:sz w:val="28"/>
          <w:sz-cs w:val="28"/>
          <w:b/>
          <w:spacing w:val="0"/>
          <w:color w:val="0E0E0E"/>
        </w:rPr>
        <w:t xml:space="preserve">Module Three (processor to processor)</w:t>
      </w:r>
      <w:r>
        <w:rPr>
          <w:rFonts w:ascii="Helvetica Neue" w:hAnsi="Helvetica Neue" w:cs="Helvetica Neue"/>
          <w:sz w:val="28"/>
          <w:sz-cs w:val="28"/>
          <w:spacing w:val="0"/>
          <w:color w:val="0E0E0E"/>
        </w:rPr>
        <w:t xml:space="preserve"> applies where the Customer is a processor acting on behalf of another controller and Rybbit processes Customer Personal Data as its subprocessor.</w:t>
      </w:r>
    </w:p>
    <w:p>
      <w:pPr>
        <w:ind w:left="720" w:first-line="-720"/>
      </w:pPr>
      <w:r>
        <w:rPr>
          <w:rFonts w:ascii="Helvetica Neue" w:hAnsi="Helvetica Neue" w:cs="Helvetica Neue"/>
          <w:sz w:val="28"/>
          <w:sz-cs w:val="28"/>
          <w:color w:val="0E0E0E"/>
        </w:rPr>
        <w:t xml:space="preserve"/>
        <w:tab/>
        <w:t xml:space="preserve">3</w:t>
        <w:tab/>
        <w:t xml:space="preserve"/>
      </w:r>
      <w:r>
        <w:rPr>
          <w:rFonts w:ascii="Helvetica Neue" w:hAnsi="Helvetica Neue" w:cs="Helvetica Neue"/>
          <w:sz w:val="28"/>
          <w:sz-cs w:val="28"/>
          <w:spacing w:val="0"/>
          <w:color w:val="0E0E0E"/>
        </w:rPr>
        <w:t xml:space="preserve">The optional docking clause in Clause 7 does not apply.</w:t>
      </w:r>
    </w:p>
    <w:p>
      <w:pPr>
        <w:ind w:left="720" w:first-line="-720"/>
      </w:pPr>
      <w:r>
        <w:rPr>
          <w:rFonts w:ascii="Helvetica Neue" w:hAnsi="Helvetica Neue" w:cs="Helvetica Neue"/>
          <w:sz w:val="28"/>
          <w:sz-cs w:val="28"/>
          <w:color w:val="0E0E0E"/>
        </w:rPr>
        <w:t xml:space="preserve"/>
        <w:tab/>
        <w:t xml:space="preserve">4</w:t>
        <w:tab/>
        <w:t xml:space="preserve"/>
      </w:r>
      <w:r>
        <w:rPr>
          <w:rFonts w:ascii="Helvetica Neue" w:hAnsi="Helvetica Neue" w:cs="Helvetica Neue"/>
          <w:sz w:val="28"/>
          <w:sz-cs w:val="28"/>
          <w:spacing w:val="0"/>
          <w:color w:val="0E0E0E"/>
        </w:rPr>
        <w:t xml:space="preserve">In Clause 9, </w:t>
      </w:r>
      <w:r>
        <w:rPr>
          <w:rFonts w:ascii="Helvetica Neue" w:hAnsi="Helvetica Neue" w:cs="Helvetica Neue"/>
          <w:sz w:val="28"/>
          <w:sz-cs w:val="28"/>
          <w:b/>
          <w:spacing w:val="0"/>
          <w:color w:val="0E0E0E"/>
        </w:rPr>
        <w:t xml:space="preserve">Option 2 (general written authorization)</w:t>
      </w:r>
      <w:r>
        <w:rPr>
          <w:rFonts w:ascii="Helvetica Neue" w:hAnsi="Helvetica Neue" w:cs="Helvetica Neue"/>
          <w:sz w:val="28"/>
          <w:sz-cs w:val="28"/>
          <w:spacing w:val="0"/>
          <w:color w:val="0E0E0E"/>
        </w:rPr>
        <w:t xml:space="preserve"> applies. Rybbit will give at least </w:t>
      </w:r>
      <w:r>
        <w:rPr>
          <w:rFonts w:ascii="Helvetica Neue" w:hAnsi="Helvetica Neue" w:cs="Helvetica Neue"/>
          <w:sz w:val="28"/>
          <w:sz-cs w:val="28"/>
          <w:b/>
          <w:spacing w:val="0"/>
          <w:color w:val="0E0E0E"/>
        </w:rPr>
        <w:t xml:space="preserve">30 days' prior written notice</w:t>
      </w:r>
      <w:r>
        <w:rPr>
          <w:rFonts w:ascii="Helvetica Neue" w:hAnsi="Helvetica Neue" w:cs="Helvetica Neue"/>
          <w:sz w:val="28"/>
          <w:sz-cs w:val="28"/>
          <w:spacing w:val="0"/>
          <w:color w:val="0E0E0E"/>
        </w:rPr>
        <w:t xml:space="preserve"> of the addition or replacement of a subprocessor. Notice may be provided by email, through the service, or through an update to a public subprocessor list where the Customer can subscribe to updates. The Customer may object on reasonable data-protection grounds by contacting </w:t>
      </w:r>
      <w:r>
        <w:rPr>
          <w:rFonts w:ascii="Menlo" w:hAnsi="Menlo" w:cs="Menlo"/>
          <w:sz w:val="24"/>
          <w:sz-cs w:val="24"/>
          <w:spacing w:val="0"/>
          <w:color w:val="0E0E0E"/>
        </w:rPr>
        <w:t xml:space="preserve">hello@rybbit.com</w:t>
      </w:r>
      <w:r>
        <w:rPr>
          <w:rFonts w:ascii="Helvetica Neue" w:hAnsi="Helvetica Neue" w:cs="Helvetica Neue"/>
          <w:sz w:val="28"/>
          <w:sz-cs w:val="28"/>
          <w:spacing w:val="0"/>
          <w:color w:val="0E0E0E"/>
        </w:rPr>
        <w:t xml:space="preserve"> during that period. Where Module Three applies, the Customer confirms that its controller has granted the required general authorization and the Customer will promptly pass Rybbit's subprocessor notices to that controller.</w:t>
      </w:r>
    </w:p>
    <w:p>
      <w:pPr>
        <w:ind w:left="720" w:first-line="-720"/>
      </w:pPr>
      <w:r>
        <w:rPr>
          <w:rFonts w:ascii="Helvetica Neue" w:hAnsi="Helvetica Neue" w:cs="Helvetica Neue"/>
          <w:sz w:val="28"/>
          <w:sz-cs w:val="28"/>
          <w:color w:val="0E0E0E"/>
        </w:rPr>
        <w:t xml:space="preserve"/>
        <w:tab/>
        <w:t xml:space="preserve">5</w:t>
        <w:tab/>
        <w:t xml:space="preserve"/>
      </w:r>
      <w:r>
        <w:rPr>
          <w:rFonts w:ascii="Helvetica Neue" w:hAnsi="Helvetica Neue" w:cs="Helvetica Neue"/>
          <w:sz w:val="28"/>
          <w:sz-cs w:val="28"/>
          <w:spacing w:val="0"/>
          <w:color w:val="0E0E0E"/>
        </w:rPr>
        <w:t xml:space="preserve">The optional independent-dispute-resolution language in Clause 11(a) does not apply.</w:t>
      </w:r>
    </w:p>
    <w:p>
      <w:pPr>
        <w:ind w:left="720" w:first-line="-720"/>
      </w:pPr>
      <w:r>
        <w:rPr>
          <w:rFonts w:ascii="Helvetica Neue" w:hAnsi="Helvetica Neue" w:cs="Helvetica Neue"/>
          <w:sz w:val="28"/>
          <w:sz-cs w:val="28"/>
          <w:color w:val="0E0E0E"/>
        </w:rPr>
        <w:t xml:space="preserve"/>
        <w:tab/>
        <w:t xml:space="preserve">6</w:t>
        <w:tab/>
        <w:t xml:space="preserve"/>
      </w:r>
      <w:r>
        <w:rPr>
          <w:rFonts w:ascii="Helvetica Neue" w:hAnsi="Helvetica Neue" w:cs="Helvetica Neue"/>
          <w:sz w:val="28"/>
          <w:sz-cs w:val="28"/>
          <w:spacing w:val="0"/>
          <w:color w:val="0E0E0E"/>
        </w:rPr>
        <w:t xml:space="preserve">For Clause 13, the paragraph applicable to the relevant Data Exporter's establishment or GDPR Article 3(2) status applies.</w:t>
      </w:r>
    </w:p>
    <w:p>
      <w:pPr>
        <w:ind w:left="720" w:first-line="-720"/>
      </w:pPr>
      <w:r>
        <w:rPr>
          <w:rFonts w:ascii="Helvetica Neue" w:hAnsi="Helvetica Neue" w:cs="Helvetica Neue"/>
          <w:sz w:val="28"/>
          <w:sz-cs w:val="28"/>
          <w:color w:val="0E0E0E"/>
        </w:rPr>
        <w:t xml:space="preserve"/>
        <w:tab/>
        <w:t xml:space="preserve">7</w:t>
        <w:tab/>
        <w:t xml:space="preserve"/>
      </w:r>
      <w:r>
        <w:rPr>
          <w:rFonts w:ascii="Helvetica Neue" w:hAnsi="Helvetica Neue" w:cs="Helvetica Neue"/>
          <w:sz w:val="28"/>
          <w:sz-cs w:val="28"/>
          <w:spacing w:val="0"/>
          <w:color w:val="0E0E0E"/>
        </w:rPr>
        <w:t xml:space="preserve">In Clause 17, </w:t>
      </w:r>
      <w:r>
        <w:rPr>
          <w:rFonts w:ascii="Helvetica Neue" w:hAnsi="Helvetica Neue" w:cs="Helvetica Neue"/>
          <w:sz w:val="28"/>
          <w:sz-cs w:val="28"/>
          <w:b/>
          <w:spacing w:val="0"/>
          <w:color w:val="0E0E0E"/>
        </w:rPr>
        <w:t xml:space="preserve">Option 1</w:t>
      </w:r>
      <w:r>
        <w:rPr>
          <w:rFonts w:ascii="Helvetica Neue" w:hAnsi="Helvetica Neue" w:cs="Helvetica Neue"/>
          <w:sz w:val="28"/>
          <w:sz-cs w:val="28"/>
          <w:spacing w:val="0"/>
          <w:color w:val="0E0E0E"/>
        </w:rPr>
        <w:t xml:space="preserve"> applies and the SCCs are governed by the law of </w:t>
      </w:r>
      <w:r>
        <w:rPr>
          <w:rFonts w:ascii="Helvetica Neue" w:hAnsi="Helvetica Neue" w:cs="Helvetica Neue"/>
          <w:sz w:val="28"/>
          <w:sz-cs w:val="28"/>
          <w:b/>
          <w:spacing w:val="0"/>
          <w:color w:val="0E0E0E"/>
        </w:rPr>
        <w:t xml:space="preserve">Ireland</w:t>
      </w:r>
      <w:r>
        <w:rPr>
          <w:rFonts w:ascii="Helvetica Neue" w:hAnsi="Helvetica Neue" w:cs="Helvetica Neue"/>
          <w:sz w:val="28"/>
          <w:sz-cs w:val="28"/>
          <w:spacing w:val="0"/>
          <w:color w:val="0E0E0E"/>
        </w:rPr>
        <w:t xml:space="preserve">.</w:t>
      </w:r>
    </w:p>
    <w:p>
      <w:pPr>
        <w:ind w:left="720" w:first-line="-720"/>
      </w:pPr>
      <w:r>
        <w:rPr>
          <w:rFonts w:ascii="Helvetica Neue" w:hAnsi="Helvetica Neue" w:cs="Helvetica Neue"/>
          <w:sz w:val="28"/>
          <w:sz-cs w:val="28"/>
          <w:color w:val="0E0E0E"/>
        </w:rPr>
        <w:t xml:space="preserve"/>
        <w:tab/>
        <w:t xml:space="preserve">8</w:t>
        <w:tab/>
        <w:t xml:space="preserve"/>
      </w:r>
      <w:r>
        <w:rPr>
          <w:rFonts w:ascii="Helvetica Neue" w:hAnsi="Helvetica Neue" w:cs="Helvetica Neue"/>
          <w:sz w:val="28"/>
          <w:sz-cs w:val="28"/>
          <w:spacing w:val="0"/>
          <w:color w:val="0E0E0E"/>
        </w:rPr>
        <w:t xml:space="preserve">Under Clause 18(b), disputes will be resolved by the courts of </w:t>
      </w:r>
      <w:r>
        <w:rPr>
          <w:rFonts w:ascii="Helvetica Neue" w:hAnsi="Helvetica Neue" w:cs="Helvetica Neue"/>
          <w:sz w:val="28"/>
          <w:sz-cs w:val="28"/>
          <w:b/>
          <w:spacing w:val="0"/>
          <w:color w:val="0E0E0E"/>
        </w:rPr>
        <w:t xml:space="preserve">Ireland</w:t>
      </w:r>
      <w:r>
        <w:rPr>
          <w:rFonts w:ascii="Helvetica Neue" w:hAnsi="Helvetica Neue" w:cs="Helvetica Neue"/>
          <w:sz w:val="28"/>
          <w:sz-cs w:val="28"/>
          <w:spacing w:val="0"/>
          <w:color w:val="0E0E0E"/>
        </w:rPr>
        <w:t xml:space="preserve">.</w:t>
      </w:r>
    </w:p>
    <w:p>
      <w:pPr>
        <w:ind w:left="720" w:first-line="-720"/>
      </w:pPr>
      <w:r>
        <w:rPr>
          <w:rFonts w:ascii="Helvetica Neue" w:hAnsi="Helvetica Neue" w:cs="Helvetica Neue"/>
          <w:sz w:val="28"/>
          <w:sz-cs w:val="28"/>
          <w:color w:val="0E0E0E"/>
        </w:rPr>
        <w:t xml:space="preserve"/>
        <w:tab/>
        <w:t xml:space="preserve">9</w:t>
        <w:tab/>
        <w:t xml:space="preserve"/>
      </w:r>
      <w:r>
        <w:rPr>
          <w:rFonts w:ascii="Helvetica Neue" w:hAnsi="Helvetica Neue" w:cs="Helvetica Neue"/>
          <w:sz w:val="28"/>
          <w:sz-cs w:val="28"/>
          <w:spacing w:val="0"/>
          <w:color w:val="0E0E0E"/>
        </w:rPr>
        <w:t xml:space="preserve">Annex I is completed by Sections 3 and 4 below, Annex II by Section 5, and Annex III by Section 6.</w:t>
      </w:r>
    </w:p>
    <w:p>
      <w:pPr>
        <w:ind w:left="720" w:first-line="-720"/>
      </w:pPr>
      <w:r>
        <w:rPr>
          <w:rFonts w:ascii="Helvetica Neue" w:hAnsi="Helvetica Neue" w:cs="Helvetica Neue"/>
          <w:sz w:val="28"/>
          <w:sz-cs w:val="28"/>
          <w:color w:val="0E0E0E"/>
        </w:rPr>
        <w:t xml:space="preserve"/>
        <w:tab/>
        <w:t xml:space="preserve">10</w:t>
        <w:tab/>
        <w:t xml:space="preserve"/>
      </w:r>
      <w:r>
        <w:rPr>
          <w:rFonts w:ascii="Helvetica Neue" w:hAnsi="Helvetica Neue" w:cs="Helvetica Neue"/>
          <w:sz w:val="28"/>
          <w:sz-cs w:val="28"/>
          <w:spacing w:val="0"/>
          <w:color w:val="0E0E0E"/>
        </w:rPr>
        <w:t xml:space="preserve">Entering into the Agreement that expressly incorporates this SCC Addendum, or signing this SCC Addendum, constitutes execution of the SCCs and their completed Appendix on the Effective Date.</w:t>
      </w:r>
    </w:p>
    <w:p>
      <w:pPr>
        <w:spacing w:after="331"/>
      </w:pPr>
      <w:r>
        <w:rPr>
          <w:rFonts w:ascii="Helvetica Neue" w:hAnsi="Helvetica Neue" w:cs="Helvetica Neue"/>
          <w:sz w:val="40"/>
          <w:sz-cs w:val="40"/>
          <w:b/>
          <w:spacing w:val="0"/>
          <w:color w:val="0E0E0E"/>
        </w:rPr>
        <w:t xml:space="preserve">3. Annex I.A — List of parties</w:t>
      </w:r>
    </w:p>
    <w:p>
      <w:pPr>
        <w:spacing w:after="320"/>
      </w:pPr>
      <w:r>
        <w:rPr>
          <w:rFonts w:ascii="Helvetica Neue" w:hAnsi="Helvetica Neue" w:cs="Helvetica Neue"/>
          <w:sz w:val="32"/>
          <w:sz-cs w:val="32"/>
          <w:b/>
          <w:spacing w:val="0"/>
          <w:color w:val="0E0E0E"/>
        </w:rPr>
        <w:t xml:space="preserve">Data exporter</w:t>
      </w:r>
    </w:p>
    <w:p>
      <w:pPr>
        <w:spacing w:after="280"/>
      </w:pPr>
      <w:r>
        <w:rPr>
          <w:rFonts w:ascii="Helvetica Neue" w:hAnsi="Helvetica Neue" w:cs="Helvetica Neue"/>
          <w:sz w:val="28"/>
          <w:sz-cs w:val="28"/>
          <w:spacing w:val="0"/>
          <w:color w:val="0E0E0E"/>
        </w:rPr>
        <w:t xml:space="preserve">Name: The Customer identified in the Agreement, order form, or Rybbit account.</w:t>
      </w:r>
    </w:p>
    <w:p>
      <w:pPr>
        <w:spacing w:after="280"/>
      </w:pPr>
      <w:r>
        <w:rPr>
          <w:rFonts w:ascii="Helvetica Neue" w:hAnsi="Helvetica Neue" w:cs="Helvetica Neue"/>
          <w:sz w:val="28"/>
          <w:sz-cs w:val="28"/>
          <w:spacing w:val="0"/>
          <w:color w:val="0E0E0E"/>
        </w:rPr>
        <w:t xml:space="preserve">Address: The Customer address identified in the Agreement, order form, or Rybbit account.</w:t>
      </w:r>
    </w:p>
    <w:p>
      <w:pPr>
        <w:spacing w:after="280"/>
      </w:pPr>
      <w:r>
        <w:rPr>
          <w:rFonts w:ascii="Helvetica Neue" w:hAnsi="Helvetica Neue" w:cs="Helvetica Neue"/>
          <w:sz w:val="28"/>
          <w:sz-cs w:val="28"/>
          <w:spacing w:val="0"/>
          <w:color w:val="0E0E0E"/>
        </w:rPr>
        <w:t xml:space="preserve">Contact person's name, position, and contact details: The Customer account owner or other privacy contact identified in the Agreement, order form, or Rybbit account. Any applicable data protection officer or EU representative is the person identified by the Customer in those records.</w:t>
      </w:r>
    </w:p>
    <w:p>
      <w:pPr>
        <w:spacing w:after="280"/>
      </w:pPr>
      <w:r>
        <w:rPr>
          <w:rFonts w:ascii="Helvetica Neue" w:hAnsi="Helvetica Neue" w:cs="Helvetica Neue"/>
          <w:sz w:val="28"/>
          <w:sz-cs w:val="28"/>
          <w:spacing w:val="0"/>
          <w:color w:val="0E0E0E"/>
        </w:rPr>
        <w:t xml:space="preserve">Activities relevant to the data transferred under these Clauses: Configuring and using the hosted Rybbit web and product analytics service, including transmitting or making Customer Personal Data available to Rybbit for the processing described in Annex I.B.</w:t>
      </w:r>
    </w:p>
    <w:p>
      <w:pPr>
        <w:spacing w:after="280"/>
      </w:pPr>
      <w:r>
        <w:rPr>
          <w:rFonts w:ascii="Helvetica Neue" w:hAnsi="Helvetica Neue" w:cs="Helvetica Neue"/>
          <w:sz w:val="28"/>
          <w:sz-cs w:val="28"/>
          <w:spacing w:val="0"/>
          <w:color w:val="0E0E0E"/>
        </w:rPr>
        <w:t xml:space="preserve">Signature and date: The parties agree that the Customer's valid acceptance or signature of the Agreement that expressly incorporates this SCC Addendum constitutes its signature of the SCCs on the Effective Date.</w:t>
      </w:r>
    </w:p>
    <w:p>
      <w:pPr>
        <w:spacing w:after="280"/>
      </w:pPr>
      <w:r>
        <w:rPr>
          <w:rFonts w:ascii="Helvetica Neue" w:hAnsi="Helvetica Neue" w:cs="Helvetica Neue"/>
          <w:sz w:val="28"/>
          <w:sz-cs w:val="28"/>
          <w:spacing w:val="0"/>
          <w:color w:val="0E0E0E"/>
        </w:rPr>
        <w:t xml:space="preserve">Role:</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Controller when Module Two applies.</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Processor when Module Three applies.</w:t>
      </w:r>
    </w:p>
    <w:p>
      <w:pPr>
        <w:spacing w:after="320"/>
      </w:pPr>
      <w:r>
        <w:rPr>
          <w:rFonts w:ascii="Helvetica Neue" w:hAnsi="Helvetica Neue" w:cs="Helvetica Neue"/>
          <w:sz w:val="32"/>
          <w:sz-cs w:val="32"/>
          <w:b/>
          <w:spacing w:val="0"/>
          <w:color w:val="0E0E0E"/>
        </w:rPr>
        <w:t xml:space="preserve">Data importer</w:t>
      </w:r>
    </w:p>
    <w:p>
      <w:pPr>
        <w:spacing w:after="280"/>
      </w:pPr>
      <w:r>
        <w:rPr>
          <w:rFonts w:ascii="Helvetica Neue" w:hAnsi="Helvetica Neue" w:cs="Helvetica Neue"/>
          <w:sz w:val="28"/>
          <w:sz-cs w:val="28"/>
          <w:spacing w:val="0"/>
          <w:color w:val="0E0E0E"/>
        </w:rPr>
        <w:t xml:space="preserve">Name: </w:t>
      </w:r>
      <w:r>
        <w:rPr>
          <w:rFonts w:ascii="Helvetica Neue" w:hAnsi="Helvetica Neue" w:cs="Helvetica Neue"/>
          <w:sz w:val="28"/>
          <w:sz-cs w:val="28"/>
          <w:b/>
          <w:spacing w:val="0"/>
          <w:color w:val="0E0E0E"/>
        </w:rPr>
        <w:t xml:space="preserve">Tomato.gg LLC</w:t>
      </w:r>
      <w:r>
        <w:rPr>
          <w:rFonts w:ascii="Helvetica Neue" w:hAnsi="Helvetica Neue" w:cs="Helvetica Neue"/>
          <w:sz w:val="28"/>
          <w:sz-cs w:val="28"/>
          <w:spacing w:val="0"/>
          <w:color w:val="0E0E0E"/>
        </w:rPr>
        <w:t xml:space="preserve">, doing business as Rybbit.</w:t>
      </w:r>
    </w:p>
    <w:p>
      <w:pPr>
        <w:spacing w:after="280"/>
      </w:pPr>
      <w:r>
        <w:rPr>
          <w:rFonts w:ascii="Helvetica Neue" w:hAnsi="Helvetica Neue" w:cs="Helvetica Neue"/>
          <w:sz w:val="28"/>
          <w:sz-cs w:val="28"/>
          <w:spacing w:val="0"/>
          <w:color w:val="0E0E0E"/>
        </w:rPr>
        <w:t xml:space="preserve">Address: </w:t>
      </w:r>
      <w:r>
        <w:rPr>
          <w:rFonts w:ascii="Helvetica Neue" w:hAnsi="Helvetica Neue" w:cs="Helvetica Neue"/>
          <w:sz w:val="28"/>
          <w:sz-cs w:val="28"/>
          <w:b/>
          <w:spacing w:val="0"/>
          <w:color w:val="0E0E0E"/>
        </w:rPr>
        <w:t xml:space="preserve">1276 Rothwell Dr, Troy, Michigan 48084, United States</w:t>
      </w:r>
      <w:r>
        <w:rPr>
          <w:rFonts w:ascii="Helvetica Neue" w:hAnsi="Helvetica Neue" w:cs="Helvetica Neue"/>
          <w:sz w:val="28"/>
          <w:sz-cs w:val="28"/>
          <w:spacing w:val="0"/>
          <w:color w:val="0E0E0E"/>
        </w:rPr>
        <w:t xml:space="preserve">.</w:t>
      </w:r>
    </w:p>
    <w:p>
      <w:pPr>
        <w:spacing w:after="280"/>
      </w:pPr>
      <w:r>
        <w:rPr>
          <w:rFonts w:ascii="Helvetica Neue" w:hAnsi="Helvetica Neue" w:cs="Helvetica Neue"/>
          <w:sz w:val="28"/>
          <w:sz-cs w:val="28"/>
          <w:spacing w:val="0"/>
          <w:color w:val="0E0E0E"/>
        </w:rPr>
        <w:t xml:space="preserve">Contact person with responsibility for data protection: </w:t>
      </w:r>
      <w:r>
        <w:rPr>
          <w:rFonts w:ascii="Helvetica Neue" w:hAnsi="Helvetica Neue" w:cs="Helvetica Neue"/>
          <w:sz w:val="28"/>
          <w:sz-cs w:val="28"/>
          <w:b/>
          <w:spacing w:val="0"/>
          <w:color w:val="0E0E0E"/>
        </w:rPr>
        <w:t xml:space="preserve">Rybbit Privacy Team, </w:t>
      </w:r>
      <w:r>
        <w:rPr>
          <w:rFonts w:ascii="Helvetica Neue" w:hAnsi="Helvetica Neue" w:cs="Helvetica Neue"/>
          <w:sz w:val="28"/>
          <w:sz-cs w:val="28"/>
          <w:b/>
          <w:u w:val="single"/>
          <w:spacing w:val="0"/>
          <w:color w:val="0000E9"/>
        </w:rPr>
        <w:t xml:space="preserve">hello@rybbit.com</w:t>
      </w:r>
      <w:r>
        <w:rPr>
          <w:rFonts w:ascii="Helvetica Neue" w:hAnsi="Helvetica Neue" w:cs="Helvetica Neue"/>
          <w:sz w:val="28"/>
          <w:sz-cs w:val="28"/>
          <w:spacing w:val="0"/>
          <w:color w:val="0E0E0E"/>
        </w:rPr>
        <w:t xml:space="preserve">.</w:t>
      </w:r>
    </w:p>
    <w:p>
      <w:pPr>
        <w:spacing w:after="280"/>
      </w:pPr>
      <w:r>
        <w:rPr>
          <w:rFonts w:ascii="Helvetica Neue" w:hAnsi="Helvetica Neue" w:cs="Helvetica Neue"/>
          <w:sz w:val="28"/>
          <w:sz-cs w:val="28"/>
          <w:spacing w:val="0"/>
          <w:color w:val="0E0E0E"/>
        </w:rPr>
        <w:t xml:space="preserve">Activities relevant to the data transferred under these Clauses: Providing, securing, supporting, and maintaining the hosted Rybbit web and product analytics service as described in Annex I.B and the Agreement.</w:t>
      </w:r>
    </w:p>
    <w:p>
      <w:pPr>
        <w:spacing w:after="280"/>
      </w:pPr>
      <w:r>
        <w:rPr>
          <w:rFonts w:ascii="Helvetica Neue" w:hAnsi="Helvetica Neue" w:cs="Helvetica Neue"/>
          <w:sz w:val="28"/>
          <w:sz-cs w:val="28"/>
          <w:spacing w:val="0"/>
          <w:color w:val="0E0E0E"/>
        </w:rPr>
        <w:t xml:space="preserve">Signature and date: The parties agree that Rybbit's valid acceptance or signature of the Agreement that expressly incorporates this SCC Addendum constitutes its signature of the SCCs on the Effective Date.</w:t>
      </w:r>
    </w:p>
    <w:p>
      <w:pPr>
        <w:spacing w:after="280"/>
      </w:pPr>
      <w:r>
        <w:rPr>
          <w:rFonts w:ascii="Helvetica Neue" w:hAnsi="Helvetica Neue" w:cs="Helvetica Neue"/>
          <w:sz w:val="28"/>
          <w:sz-cs w:val="28"/>
          <w:spacing w:val="0"/>
          <w:color w:val="0E0E0E"/>
        </w:rPr>
        <w:t xml:space="preserve">Role: </w:t>
      </w:r>
      <w:r>
        <w:rPr>
          <w:rFonts w:ascii="Helvetica Neue" w:hAnsi="Helvetica Neue" w:cs="Helvetica Neue"/>
          <w:sz w:val="28"/>
          <w:sz-cs w:val="28"/>
          <w:b/>
          <w:spacing w:val="0"/>
          <w:color w:val="0E0E0E"/>
        </w:rPr>
        <w:t xml:space="preserve">Processor</w:t>
      </w:r>
      <w:r>
        <w:rPr>
          <w:rFonts w:ascii="Helvetica Neue" w:hAnsi="Helvetica Neue" w:cs="Helvetica Neue"/>
          <w:sz w:val="28"/>
          <w:sz-cs w:val="28"/>
          <w:spacing w:val="0"/>
          <w:color w:val="0E0E0E"/>
        </w:rPr>
        <w:t xml:space="preserve">.</w:t>
      </w:r>
    </w:p>
    <w:p>
      <w:pPr>
        <w:spacing w:after="331"/>
      </w:pPr>
      <w:r>
        <w:rPr>
          <w:rFonts w:ascii="Helvetica Neue" w:hAnsi="Helvetica Neue" w:cs="Helvetica Neue"/>
          <w:sz w:val="40"/>
          <w:sz-cs w:val="40"/>
          <w:b/>
          <w:spacing w:val="0"/>
          <w:color w:val="0E0E0E"/>
        </w:rPr>
        <w:t xml:space="preserve">4. Annex I.B — Description of the transfer</w:t>
      </w:r>
    </w:p>
    <w:p>
      <w:pPr>
        <w:spacing w:after="320"/>
      </w:pPr>
      <w:r>
        <w:rPr>
          <w:rFonts w:ascii="Helvetica Neue" w:hAnsi="Helvetica Neue" w:cs="Helvetica Neue"/>
          <w:sz w:val="32"/>
          <w:sz-cs w:val="32"/>
          <w:b/>
          <w:spacing w:val="0"/>
          <w:color w:val="0E0E0E"/>
        </w:rPr>
        <w:t xml:space="preserve">Categories of data subjects</w:t>
      </w:r>
    </w:p>
    <w:p>
      <w:pPr>
        <w:spacing w:after="280"/>
      </w:pPr>
      <w:r>
        <w:rPr>
          <w:rFonts w:ascii="Helvetica Neue" w:hAnsi="Helvetica Neue" w:cs="Helvetica Neue"/>
          <w:sz w:val="28"/>
          <w:sz-cs w:val="28"/>
          <w:spacing w:val="0"/>
          <w:color w:val="0E0E0E"/>
        </w:rPr>
        <w:t xml:space="preserve">Customer determines the data subjects whose personal data is submitted to the service. They may include:</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visitors to and users of the Customer's websites, applications, products, and other digital properties;</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the Customer's customers, prospective customers, end users, employees, contractors, and other individuals whose activity the Customer measures;</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individuals the Customer identifies through Rybbit's optional identify and user-profile functionality; and</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Customer personnel and authorized users, but only to the extent their data is processed by Rybbit on the Customer's behalf rather than by Rybbit as an independent controller for account administration, billing, security, or its own legal obligations.</w:t>
      </w:r>
    </w:p>
    <w:p>
      <w:pPr>
        <w:spacing w:after="320"/>
      </w:pPr>
      <w:r>
        <w:rPr>
          <w:rFonts w:ascii="Helvetica Neue" w:hAnsi="Helvetica Neue" w:cs="Helvetica Neue"/>
          <w:sz w:val="32"/>
          <w:sz-cs w:val="32"/>
          <w:b/>
          <w:spacing w:val="0"/>
          <w:color w:val="0E0E0E"/>
        </w:rPr>
        <w:t xml:space="preserve">Categories of personal data transferred</w:t>
      </w:r>
    </w:p>
    <w:p>
      <w:pPr>
        <w:spacing w:after="280"/>
      </w:pPr>
      <w:r>
        <w:rPr>
          <w:rFonts w:ascii="Helvetica Neue" w:hAnsi="Helvetica Neue" w:cs="Helvetica Neue"/>
          <w:sz w:val="28"/>
          <w:sz-cs w:val="28"/>
          <w:spacing w:val="0"/>
          <w:color w:val="0E0E0E"/>
        </w:rPr>
        <w:t xml:space="preserve">Depending on the features enabled and the Customer's configuration, Customer Personal Data may include:</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page and navigation data, including URLs, URL paths, query parameters, page titles, referrers, entry and exit pages, timestamps, session duration, and user journeys;</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event and interaction data, including page views, clicks, copied text, outbound links, form-submission metadata, event names, event properties, goals, funnel activity, feature-flag exposure, and Customer-defined custom events;</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device and technical data, including IP address processed transiently for routing, security, geolocation, and identifier generation; IP address stored when the Customer expressly enables IP storage; user-agent, browser and version, operating system, device type, language, screen or viewport dimensions, timezone, and related client signals;</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approximate location derived from IP address, which may include country, region, city, latitude, and longitude;</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pseudonymous identifiers, including session identifiers, user or device identifiers derived from IP address and user-agent, and related aliases;</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identifiers and profile data supplied through optional identification features, including Customer-assigned user IDs and Customer-defined user traits such as name, email address, account, plan, role, company, or other attributes selected by the Customer;</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session-replay data, including DOM content, displayed text, clicks, pointer movement, scrolling, viewport changes, and form interactions, subject to default and Customer-configurable masking controls;</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diagnostic and performance data, including JavaScript error messages and stack traces, network or page-performance measurements, and web-vitals data;</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imported analytics records and other data the Customer submits through the service, API, SDKs, MCP tools, support channels, or integrations;</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natural-language analytics prompts, current queries, and prompt history sent when the Customer uses optional AI query-generation functionality; and</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any other personal data the Customer elects to include in custom events, properties, traits, URLs, page content, replays, imports, prompts, or support requests, subject to the Agreement.</w:t>
      </w:r>
    </w:p>
    <w:p>
      <w:pPr>
        <w:spacing w:after="320"/>
      </w:pPr>
      <w:r>
        <w:rPr>
          <w:rFonts w:ascii="Helvetica Neue" w:hAnsi="Helvetica Neue" w:cs="Helvetica Neue"/>
          <w:sz w:val="32"/>
          <w:sz-cs w:val="32"/>
          <w:b/>
          <w:spacing w:val="0"/>
          <w:color w:val="0E0E0E"/>
        </w:rPr>
        <w:t xml:space="preserve">Sensitive data and safeguards</w:t>
      </w:r>
    </w:p>
    <w:p>
      <w:pPr>
        <w:spacing w:after="280"/>
      </w:pPr>
      <w:r>
        <w:rPr>
          <w:rFonts w:ascii="Helvetica Neue" w:hAnsi="Helvetica Neue" w:cs="Helvetica Neue"/>
          <w:sz w:val="28"/>
          <w:sz-cs w:val="28"/>
          <w:spacing w:val="0"/>
          <w:color w:val="0E0E0E"/>
        </w:rPr>
        <w:t xml:space="preserve">The service is not designed for special-category data under GDPR Article 9, criminal-conviction data under GDPR Article 10, payment-card data, government identifiers, passwords, authentication secrets, or similarly sensitive data. The Customer must not submit such data unless the parties expressly agree and the Customer has established a lawful basis and appropriate safeguards.</w:t>
      </w:r>
    </w:p>
    <w:p>
      <w:pPr>
        <w:spacing w:after="280"/>
      </w:pPr>
      <w:r>
        <w:rPr>
          <w:rFonts w:ascii="Helvetica Neue" w:hAnsi="Helvetica Neue" w:cs="Helvetica Neue"/>
          <w:sz w:val="28"/>
          <w:sz-cs w:val="28"/>
          <w:spacing w:val="0"/>
          <w:color w:val="0E0E0E"/>
        </w:rPr>
        <w:t xml:space="preserve">If sensitive data is nevertheless included in Customer-controlled fields or content, the safeguards in Annex II apply, including purpose limitation, role-based access, confidentiality obligations, encryption, logging, pseudonymization where supported, and Customer-configurable URL, text, and input masking. The Customer is responsible for configuring collection and masking to avoid unnecessary sensitive data.</w:t>
      </w:r>
    </w:p>
    <w:p>
      <w:pPr>
        <w:spacing w:after="320"/>
      </w:pPr>
      <w:r>
        <w:rPr>
          <w:rFonts w:ascii="Helvetica Neue" w:hAnsi="Helvetica Neue" w:cs="Helvetica Neue"/>
          <w:sz w:val="32"/>
          <w:sz-cs w:val="32"/>
          <w:b/>
          <w:spacing w:val="0"/>
          <w:color w:val="0E0E0E"/>
        </w:rPr>
        <w:t xml:space="preserve">Frequency of the transfer</w:t>
      </w:r>
    </w:p>
    <w:p>
      <w:pPr>
        <w:spacing w:after="280"/>
      </w:pPr>
      <w:r>
        <w:rPr>
          <w:rFonts w:ascii="Helvetica Neue" w:hAnsi="Helvetica Neue" w:cs="Helvetica Neue"/>
          <w:sz w:val="28"/>
          <w:sz-cs w:val="28"/>
          <w:spacing w:val="0"/>
          <w:color w:val="0E0E0E"/>
        </w:rPr>
        <w:t xml:space="preserve">Continuous or recurring for tracking and service operation, and occasional for imports, support, configuration, deletion, export, and other Customer-initiated operations, for the duration of the Agreement.</w:t>
      </w:r>
    </w:p>
    <w:p>
      <w:pPr>
        <w:spacing w:after="320"/>
      </w:pPr>
      <w:r>
        <w:rPr>
          <w:rFonts w:ascii="Helvetica Neue" w:hAnsi="Helvetica Neue" w:cs="Helvetica Neue"/>
          <w:sz w:val="32"/>
          <w:sz-cs w:val="32"/>
          <w:b/>
          <w:spacing w:val="0"/>
          <w:color w:val="0E0E0E"/>
        </w:rPr>
        <w:t xml:space="preserve">Nature of the processing</w:t>
      </w:r>
    </w:p>
    <w:p>
      <w:pPr>
        <w:spacing w:after="280"/>
      </w:pPr>
      <w:r>
        <w:rPr>
          <w:rFonts w:ascii="Helvetica Neue" w:hAnsi="Helvetica Neue" w:cs="Helvetica Neue"/>
          <w:sz w:val="28"/>
          <w:sz-cs w:val="28"/>
          <w:spacing w:val="0"/>
          <w:color w:val="0E0E0E"/>
        </w:rPr>
        <w:t xml:space="preserve">Receiving, transmitting, collecting, recording, organizing, structuring, pseudonymizing, deriving approximate geolocation, storing, retrieving, consulting, analyzing, aggregating, displaying, exporting, securing, supporting, restricting, deleting, and otherwise processing Customer Personal Data on the Customer's documented instructions to provide the service.</w:t>
      </w:r>
    </w:p>
    <w:p>
      <w:pPr>
        <w:spacing w:after="320"/>
      </w:pPr>
      <w:r>
        <w:rPr>
          <w:rFonts w:ascii="Helvetica Neue" w:hAnsi="Helvetica Neue" w:cs="Helvetica Neue"/>
          <w:sz w:val="32"/>
          <w:sz-cs w:val="32"/>
          <w:b/>
          <w:spacing w:val="0"/>
          <w:color w:val="0E0E0E"/>
        </w:rPr>
        <w:t xml:space="preserve">Purposes of the transfer and further processing</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provide web and product analytics, reports, dashboards, funnels, goals, journeys, retention analysis, user profiles, session replay, error tracking, web-vitals reporting, feature flags, experiments, APIs, exports, and related features selected by the Customer;</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authenticate and authorize Customer-directed access to Customer Personal Data;</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maintain, secure, monitor, troubleshoot, and support the service;</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respond to Customer instructions and data-subject requests; and</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delete or return Customer Personal Data as required by the Agreement.</w:t>
      </w:r>
    </w:p>
    <w:p>
      <w:pPr>
        <w:spacing w:after="280"/>
      </w:pPr>
      <w:r>
        <w:rPr>
          <w:rFonts w:ascii="Helvetica Neue" w:hAnsi="Helvetica Neue" w:cs="Helvetica Neue"/>
          <w:sz w:val="28"/>
          <w:sz-cs w:val="28"/>
          <w:spacing w:val="0"/>
          <w:color w:val="0E0E0E"/>
        </w:rPr>
        <w:t xml:space="preserve">Rybbit will not process Customer Personal Data for advertising or sell it.</w:t>
      </w:r>
    </w:p>
    <w:p>
      <w:pPr>
        <w:spacing w:after="320"/>
      </w:pPr>
      <w:r>
        <w:rPr>
          <w:rFonts w:ascii="Helvetica Neue" w:hAnsi="Helvetica Neue" w:cs="Helvetica Neue"/>
          <w:sz w:val="32"/>
          <w:sz-cs w:val="32"/>
          <w:b/>
          <w:spacing w:val="0"/>
          <w:color w:val="0E0E0E"/>
        </w:rPr>
        <w:t xml:space="preserve">Retention</w:t>
      </w:r>
    </w:p>
    <w:p>
      <w:pPr>
        <w:spacing w:after="280"/>
      </w:pPr>
      <w:r>
        <w:rPr>
          <w:rFonts w:ascii="Helvetica Neue" w:hAnsi="Helvetica Neue" w:cs="Helvetica Neue"/>
          <w:sz w:val="28"/>
          <w:sz-cs w:val="28"/>
          <w:spacing w:val="0"/>
          <w:color w:val="0E0E0E"/>
        </w:rPr>
        <w:t xml:space="preserve">Subject to Customer configuration and any written order form:</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hosted analytics data is retained for </w:t>
      </w:r>
      <w:r>
        <w:rPr>
          <w:rFonts w:ascii="Helvetica Neue" w:hAnsi="Helvetica Neue" w:cs="Helvetica Neue"/>
          <w:sz w:val="28"/>
          <w:sz-cs w:val="28"/>
          <w:b/>
          <w:spacing w:val="0"/>
          <w:color w:val="0E0E0E"/>
        </w:rPr>
        <w:t xml:space="preserve">3 years on Standard plans, 5 years on Pro plans, and for the configured or agreed period on Enterprise plans</w:t>
      </w:r>
      <w:r>
        <w:rPr>
          <w:rFonts w:ascii="Helvetica Neue" w:hAnsi="Helvetica Neue" w:cs="Helvetica Neue"/>
          <w:sz w:val="28"/>
          <w:sz-cs w:val="28"/>
          <w:spacing w:val="0"/>
          <w:color w:val="0E0E0E"/>
        </w:rPr>
        <w:t xml:space="preserve">;</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session-replay events are ordinarily retained for </w:t>
      </w:r>
      <w:r>
        <w:rPr>
          <w:rFonts w:ascii="Helvetica Neue" w:hAnsi="Helvetica Neue" w:cs="Helvetica Neue"/>
          <w:sz w:val="28"/>
          <w:sz-cs w:val="28"/>
          <w:b/>
          <w:spacing w:val="0"/>
          <w:color w:val="0E0E0E"/>
        </w:rPr>
        <w:t xml:space="preserve">30 days</w:t>
      </w:r>
      <w:r>
        <w:rPr>
          <w:rFonts w:ascii="Helvetica Neue" w:hAnsi="Helvetica Neue" w:cs="Helvetica Neue"/>
          <w:sz w:val="28"/>
          <w:sz-cs w:val="28"/>
          <w:spacing w:val="0"/>
          <w:color w:val="0E0E0E"/>
        </w:rPr>
        <w:t xml:space="preserve">;</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data is retained for the term of the Agreement and the applicable plan or feature retention period; and</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following termination, Rybbit will delete or return Customer Personal Data at the Customer's choice and delete remaining copies within </w:t>
      </w:r>
      <w:r>
        <w:rPr>
          <w:rFonts w:ascii="Helvetica Neue" w:hAnsi="Helvetica Neue" w:cs="Helvetica Neue"/>
          <w:sz w:val="28"/>
          <w:sz-cs w:val="28"/>
          <w:b/>
          <w:spacing w:val="0"/>
          <w:color w:val="0E0E0E"/>
        </w:rPr>
        <w:t xml:space="preserve">30 days</w:t>
      </w:r>
      <w:r>
        <w:rPr>
          <w:rFonts w:ascii="Helvetica Neue" w:hAnsi="Helvetica Neue" w:cs="Helvetica Neue"/>
          <w:sz w:val="28"/>
          <w:sz-cs w:val="28"/>
          <w:spacing w:val="0"/>
          <w:color w:val="0E0E0E"/>
        </w:rPr>
        <w:t xml:space="preserve">, except where applicable law requires retention.</w:t>
      </w:r>
    </w:p>
    <w:p>
      <w:pPr>
        <w:spacing w:after="280"/>
      </w:pPr>
      <w:r>
        <w:rPr>
          <w:rFonts w:ascii="Helvetica Neue" w:hAnsi="Helvetica Neue" w:cs="Helvetica Neue"/>
          <w:sz w:val="28"/>
          <w:sz-cs w:val="28"/>
          <w:b/>
          <w:spacing w:val="0"/>
          <w:color w:val="0E0E0E"/>
        </w:rPr>
        <w:t xml:space="preserve">[OPERATIONAL REVIEW REQUIRED: Rybbit's current DPA promises deletion within 30 days, while the current Terms and Security page say 60 days. Confirm that the 30-day commitment is operationally achievable or change all documents to one accurate period before execution.]</w:t>
      </w:r>
      <w:r>
        <w:rPr>
          <w:rFonts w:ascii="Helvetica Neue" w:hAnsi="Helvetica Neue" w:cs="Helvetica Neue"/>
          <w:sz w:val="28"/>
          <w:sz-cs w:val="28"/>
          <w:spacing w:val="0"/>
          <w:color w:val="0E0E0E"/>
        </w:rPr>
        <w:t xml:space="preserve"/>
      </w:r>
    </w:p>
    <w:p>
      <w:pPr>
        <w:spacing w:after="320"/>
      </w:pPr>
      <w:r>
        <w:rPr>
          <w:rFonts w:ascii="Helvetica Neue" w:hAnsi="Helvetica Neue" w:cs="Helvetica Neue"/>
          <w:sz w:val="32"/>
          <w:sz-cs w:val="32"/>
          <w:b/>
          <w:spacing w:val="0"/>
          <w:color w:val="0E0E0E"/>
        </w:rPr>
        <w:t xml:space="preserve">Transfers to subprocessors</w:t>
      </w:r>
    </w:p>
    <w:p>
      <w:pPr>
        <w:spacing w:after="280"/>
      </w:pPr>
      <w:r>
        <w:rPr>
          <w:rFonts w:ascii="Helvetica Neue" w:hAnsi="Helvetica Neue" w:cs="Helvetica Neue"/>
          <w:sz w:val="28"/>
          <w:sz-cs w:val="28"/>
          <w:spacing w:val="0"/>
          <w:color w:val="0E0E0E"/>
        </w:rPr>
        <w:t xml:space="preserve">The subject matter, nature, and duration of processing by each subprocessor are described in Annex III. Each subprocessor processes data only for the duration necessary to provide its services to Rybbit, subject to its agreement with Rybbit and applicable deletion or return requirements.</w:t>
      </w:r>
    </w:p>
    <w:p>
      <w:pPr>
        <w:spacing w:after="331"/>
      </w:pPr>
      <w:r>
        <w:rPr>
          <w:rFonts w:ascii="Helvetica Neue" w:hAnsi="Helvetica Neue" w:cs="Helvetica Neue"/>
          <w:sz w:val="40"/>
          <w:sz-cs w:val="40"/>
          <w:b/>
          <w:spacing w:val="0"/>
          <w:color w:val="0E0E0E"/>
        </w:rPr>
        <w:t xml:space="preserve">Annex I.C — Competent supervisory authority</w:t>
      </w:r>
    </w:p>
    <w:p>
      <w:pPr>
        <w:spacing w:after="280"/>
      </w:pPr>
      <w:r>
        <w:rPr>
          <w:rFonts w:ascii="Helvetica Neue" w:hAnsi="Helvetica Neue" w:cs="Helvetica Neue"/>
          <w:sz w:val="28"/>
          <w:sz-cs w:val="28"/>
          <w:spacing w:val="0"/>
          <w:color w:val="0E0E0E"/>
        </w:rPr>
        <w:t xml:space="preserve">The competent supervisory authority is determined under Clause 13(a) for the relevant Data Exporter:</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if the Data Exporter is established in an EU Member State, the supervisory authority responsible for the Data Exporter's compliance with the GDPR;</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if the Data Exporter is subject to GDPR Article 3(2) and has appointed an EU representative, the authority of the Member State in which that representative is established; or</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if the Data Exporter is subject to GDPR Article 3(2) but is exempt from appointing a representative, a supervisory authority in a Member State where affected data subjects are located.</w:t>
      </w:r>
    </w:p>
    <w:p>
      <w:pPr>
        <w:spacing w:after="331"/>
      </w:pPr>
      <w:r>
        <w:rPr>
          <w:rFonts w:ascii="Helvetica Neue" w:hAnsi="Helvetica Neue" w:cs="Helvetica Neue"/>
          <w:sz w:val="40"/>
          <w:sz-cs w:val="40"/>
          <w:b/>
          <w:spacing w:val="0"/>
          <w:color w:val="0E0E0E"/>
        </w:rPr>
        <w:t xml:space="preserve">5. Annex II — Technical and organizational measures</w:t>
      </w:r>
    </w:p>
    <w:p>
      <w:pPr>
        <w:spacing w:after="280"/>
      </w:pPr>
      <w:r>
        <w:rPr>
          <w:rFonts w:ascii="Helvetica Neue" w:hAnsi="Helvetica Neue" w:cs="Helvetica Neue"/>
          <w:sz w:val="28"/>
          <w:sz-cs w:val="28"/>
          <w:spacing w:val="0"/>
          <w:color w:val="0E0E0E"/>
        </w:rPr>
        <w:t xml:space="preserve">Rybbit maintains the following measures for the hosted service. Measures apply as appropriate to the relevant processing and may evolve to maintain or improve security without materially reducing the overall level of protection.</w:t>
      </w:r>
    </w:p>
    <w:p>
      <w:pPr>
        <w:spacing w:after="320"/>
      </w:pPr>
      <w:r>
        <w:rPr>
          <w:rFonts w:ascii="Helvetica Neue" w:hAnsi="Helvetica Neue" w:cs="Helvetica Neue"/>
          <w:sz w:val="32"/>
          <w:sz-cs w:val="32"/>
          <w:b/>
          <w:spacing w:val="0"/>
          <w:color w:val="0E0E0E"/>
        </w:rPr>
        <w:t xml:space="preserve">Governance, confidentiality, and access</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Access to Customer Personal Data is limited to authorized personnel with a service, support, security, or operational need.</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Authorized personnel are subject to confidentiality obligations and receive security training.</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Customer access is controlled through authenticated accounts, organization and site membership, assigned roles, and scoped API credentials.</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Passwords are salted and hashed rather than stored in plaintext. User sessions expire after 14 days of inactivity.</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Administrative and database access is restricted and separated from public application access.</w:t>
      </w:r>
    </w:p>
    <w:p>
      <w:pPr>
        <w:spacing w:after="320"/>
      </w:pPr>
      <w:r>
        <w:rPr>
          <w:rFonts w:ascii="Helvetica Neue" w:hAnsi="Helvetica Neue" w:cs="Helvetica Neue"/>
          <w:sz w:val="32"/>
          <w:sz-cs w:val="32"/>
          <w:b/>
          <w:spacing w:val="0"/>
          <w:color w:val="0E0E0E"/>
        </w:rPr>
        <w:t xml:space="preserve">Infrastructure and network protection</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Primary hosted-service application and database infrastructure is operated on Hetzner servers located in Germany.</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Database servers are not exposed to the public internet and are protected by private networks and firewall rules that restrict access to authorized application and administrative systems.</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The service uses Cloudflare for edge security and object storage for hosted session-replay payloads.</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Rybbit applies security updates, dependency monitoring, automated testing, infrastructure monitoring, and a vulnerability-disclosure process.</w:t>
      </w:r>
    </w:p>
    <w:p>
      <w:pPr>
        <w:spacing w:after="320"/>
      </w:pPr>
      <w:r>
        <w:rPr>
          <w:rFonts w:ascii="Helvetica Neue" w:hAnsi="Helvetica Neue" w:cs="Helvetica Neue"/>
          <w:sz w:val="32"/>
          <w:sz-cs w:val="32"/>
          <w:b/>
          <w:spacing w:val="0"/>
          <w:color w:val="0E0E0E"/>
        </w:rPr>
        <w:t xml:space="preserve">Encryption and transmission controls</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Data is encrypted in transit using HTTPS/TLS.</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Customer Personal Data is encrypted at rest.</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Hosted session-replay payloads stored in Cloudflare R2 are encrypted before storage.</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Credentials and secrets are not intentionally included in source code or Customer-facing responses and are restricted to authorized systems and personnel.</w:t>
      </w:r>
    </w:p>
    <w:p>
      <w:pPr>
        <w:spacing w:after="320"/>
      </w:pPr>
      <w:r>
        <w:rPr>
          <w:rFonts w:ascii="Helvetica Neue" w:hAnsi="Helvetica Neue" w:cs="Helvetica Neue"/>
          <w:sz w:val="32"/>
          <w:sz-cs w:val="32"/>
          <w:b/>
          <w:spacing w:val="0"/>
          <w:color w:val="0E0E0E"/>
        </w:rPr>
        <w:t xml:space="preserve">Minimization, pseudonymization, and privacy controls</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By default, raw visitor IP addresses are used transiently for routing, security, approximate geolocation, and pseudonymous identifier generation and are not stored as raw IP addresses. Raw IP storage occurs only when the Customer expressly enables that setting.</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Visitor identifiers are generated from IP address and user-agent information using hashing; Customers can enable daily-rotating salts to reduce linkage across days.</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Rybbit does not require cookies or browser local storage for its default analytics tracking.</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Session replay masks all input values by default. Customers can configure additional text-selector, input-type, URL-path, and content masking and can disable replay entirely.</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Customers control optional identification, IP storage, session replay, error tracking, web-vitals, autocapture, custom-event, trait, and import features.</w:t>
      </w:r>
    </w:p>
    <w:p>
      <w:pPr>
        <w:spacing w:after="320"/>
      </w:pPr>
      <w:r>
        <w:rPr>
          <w:rFonts w:ascii="Helvetica Neue" w:hAnsi="Helvetica Neue" w:cs="Helvetica Neue"/>
          <w:sz w:val="32"/>
          <w:sz-cs w:val="32"/>
          <w:b/>
          <w:spacing w:val="0"/>
          <w:color w:val="0E0E0E"/>
        </w:rPr>
        <w:t xml:space="preserve">Logging, monitoring, testing, and incident response</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Rybbit monitors infrastructure and account activity and maintains incident response procedures.</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Security events and service errors are logged to the extent necessary for investigation, reliability, and security.</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Rybbit acknowledges vulnerability reports and coordinates remediation through its published security contact.</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If Rybbit becomes aware of a personal data breach affecting Customer Personal Data, it will investigate, mitigate, document, and notify the Customer without undue delay with the information available to it, and provide further information as it becomes available.</w:t>
      </w:r>
    </w:p>
    <w:p>
      <w:pPr>
        <w:spacing w:after="320"/>
      </w:pPr>
      <w:r>
        <w:rPr>
          <w:rFonts w:ascii="Helvetica Neue" w:hAnsi="Helvetica Neue" w:cs="Helvetica Neue"/>
          <w:sz w:val="32"/>
          <w:sz-cs w:val="32"/>
          <w:b/>
          <w:spacing w:val="0"/>
          <w:color w:val="0E0E0E"/>
        </w:rPr>
        <w:t xml:space="preserve">Availability, backup, deletion, and recovery</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Hosted infrastructure is monitored continuously and Customer data is backed up daily.</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Rybbit maintains mechanisms to delete individual users, sessions/replays, sites, and accounts and to delete or return Customer Personal Data after termination.</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Deletion requests cover relevant primary analytics records, profile and alias records, and hosted replay payloads, subject to propagation time and lawful retention requirements.</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Rybbit regularly patches and updates the hosted service and uses automated testing before deployment.</w:t>
      </w:r>
    </w:p>
    <w:p>
      <w:pPr>
        <w:spacing w:after="320"/>
      </w:pPr>
      <w:r>
        <w:rPr>
          <w:rFonts w:ascii="Helvetica Neue" w:hAnsi="Helvetica Neue" w:cs="Helvetica Neue"/>
          <w:sz w:val="32"/>
          <w:sz-cs w:val="32"/>
          <w:b/>
          <w:spacing w:val="0"/>
          <w:color w:val="0E0E0E"/>
        </w:rPr>
        <w:t xml:space="preserve">Subprocessor management</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Subprocessors are subject to written data-protection obligations appropriate to the services they provide.</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Rybbit evaluates the service and transfer mechanism used for subprocessors and remains responsible for their processing to the extent required by the SCCs and applicable law.</w:t>
      </w:r>
    </w:p>
    <w:p>
      <w:pPr>
        <w:ind w:left="720" w:first-line="-720"/>
      </w:pPr>
      <w:r>
        <w:rPr>
          <w:rFonts w:ascii="Helvetica Neue" w:hAnsi="Helvetica Neue" w:cs="Helvetica Neue"/>
          <w:sz w:val="28"/>
          <w:sz-cs w:val="28"/>
          <w:color w:val="0E0E0E"/>
        </w:rPr>
        <w:t xml:space="preserve"/>
        <w:tab/>
        <w:t xml:space="preserve">•</w:t>
        <w:tab/>
        <w:t xml:space="preserve"/>
      </w:r>
      <w:r>
        <w:rPr>
          <w:rFonts w:ascii="Helvetica Neue" w:hAnsi="Helvetica Neue" w:cs="Helvetica Neue"/>
          <w:sz w:val="28"/>
          <w:sz-cs w:val="28"/>
          <w:spacing w:val="0"/>
          <w:color w:val="0E0E0E"/>
        </w:rPr>
        <w:t xml:space="preserve">Rybbit provides prior notice of additions or replacements as described in Section 2.</w:t>
      </w:r>
    </w:p>
    <w:p>
      <w:pPr>
        <w:spacing w:after="320"/>
      </w:pPr>
      <w:r>
        <w:rPr>
          <w:rFonts w:ascii="Helvetica Neue" w:hAnsi="Helvetica Neue" w:cs="Helvetica Neue"/>
          <w:sz w:val="32"/>
          <w:sz-cs w:val="32"/>
          <w:b/>
          <w:spacing w:val="0"/>
          <w:color w:val="0E0E0E"/>
        </w:rPr>
        <w:t xml:space="preserve">Assistance to the Data Exporter</w:t>
      </w:r>
    </w:p>
    <w:p>
      <w:pPr>
        <w:spacing w:after="280"/>
      </w:pPr>
      <w:r>
        <w:rPr>
          <w:rFonts w:ascii="Helvetica Neue" w:hAnsi="Helvetica Neue" w:cs="Helvetica Neue"/>
          <w:sz w:val="28"/>
          <w:sz-cs w:val="28"/>
          <w:spacing w:val="0"/>
          <w:color w:val="0E0E0E"/>
        </w:rPr>
        <w:t xml:space="preserve">Taking into account the nature of processing and the information available to it, Rybbit provides reasonable assistance with data-subject requests, security obligations, breach notifications, data-protection impact assessments, and consultation with supervisory authorities as required by the SCCs and the DPA.</w:t>
      </w:r>
    </w:p>
    <w:p>
      <w:pPr>
        <w:spacing w:after="331"/>
      </w:pPr>
      <w:r>
        <w:rPr>
          <w:rFonts w:ascii="Helvetica Neue" w:hAnsi="Helvetica Neue" w:cs="Helvetica Neue"/>
          <w:sz w:val="40"/>
          <w:sz-cs w:val="40"/>
          <w:b/>
          <w:spacing w:val="0"/>
          <w:color w:val="0E0E0E"/>
        </w:rPr>
        <w:t xml:space="preserve">6. Annex III — List of subprocessors</w:t>
      </w:r>
    </w:p>
    <w:p>
      <w:pPr>
        <w:spacing w:after="280"/>
      </w:pPr>
      <w:r>
        <w:rPr>
          <w:rFonts w:ascii="Helvetica Neue" w:hAnsi="Helvetica Neue" w:cs="Helvetica Neue"/>
          <w:sz w:val="28"/>
          <w:sz-cs w:val="28"/>
          <w:spacing w:val="0"/>
          <w:color w:val="0E0E0E"/>
        </w:rPr>
        <w:t xml:space="preserve">The Customer generally authorizes the following subprocessors, subject to the notice and objection procedure in Section 2.</w:t>
      </w:r>
    </w:p>
    <w:p>
      <w:pPr>
        <w:jc w:val="center"/>
      </w:pPr>
      <w:r>
        <w:rPr>
          <w:rFonts w:ascii="Helvetica Neue" w:hAnsi="Helvetica Neue" w:cs="Helvetica Neue"/>
          <w:sz w:val="22"/>
          <w:sz-cs w:val="22"/>
          <w:b/>
          <w:spacing w:val="0"/>
          <w:color w:val="0E0E0E"/>
        </w:rPr>
        <w:t xml:space="preserve">Subprocessor</w:t>
      </w:r>
    </w:p>
    <w:p>
      <w:pPr>
        <w:jc w:val="center"/>
      </w:pPr>
      <w:r>
        <w:rPr>
          <w:rFonts w:ascii="Helvetica Neue" w:hAnsi="Helvetica Neue" w:cs="Helvetica Neue"/>
          <w:sz w:val="22"/>
          <w:sz-cs w:val="22"/>
          <w:b/>
          <w:spacing w:val="0"/>
          <w:color w:val="0E0E0E"/>
        </w:rPr>
        <w:t xml:space="preserve">Location</w:t>
      </w:r>
    </w:p>
    <w:p>
      <w:pPr>
        <w:jc w:val="center"/>
      </w:pPr>
      <w:r>
        <w:rPr>
          <w:rFonts w:ascii="Helvetica Neue" w:hAnsi="Helvetica Neue" w:cs="Helvetica Neue"/>
          <w:sz w:val="22"/>
          <w:sz-cs w:val="22"/>
          <w:b/>
          <w:spacing w:val="0"/>
          <w:color w:val="0E0E0E"/>
        </w:rPr>
        <w:t xml:space="preserve">Processing</w:t>
      </w:r>
    </w:p>
    <w:p>
      <w:pPr>
        <w:jc w:val="center"/>
      </w:pPr>
      <w:r>
        <w:rPr>
          <w:rFonts w:ascii="Helvetica Neue" w:hAnsi="Helvetica Neue" w:cs="Helvetica Neue"/>
          <w:sz w:val="22"/>
          <w:sz-cs w:val="22"/>
          <w:b/>
          <w:spacing w:val="0"/>
          <w:color w:val="0E0E0E"/>
        </w:rPr>
        <w:t xml:space="preserve">Duration</w:t>
      </w:r>
    </w:p>
    <w:p>
      <w:pPr>
        <w:jc w:val="center"/>
      </w:pPr>
      <w:r>
        <w:rPr>
          <w:rFonts w:ascii="Helvetica Neue" w:hAnsi="Helvetica Neue" w:cs="Helvetica Neue"/>
          <w:sz w:val="22"/>
          <w:sz-cs w:val="22"/>
          <w:b/>
          <w:spacing w:val="0"/>
          <w:color w:val="0E0E0E"/>
        </w:rPr>
        <w:t xml:space="preserve">Transfer safeguard</w:t>
      </w:r>
    </w:p>
    <w:p>
      <w:pPr/>
      <w:r>
        <w:rPr>
          <w:rFonts w:ascii="Helvetica Neue" w:hAnsi="Helvetica Neue" w:cs="Helvetica Neue"/>
          <w:sz w:val="22"/>
          <w:sz-cs w:val="22"/>
          <w:b/>
          <w:spacing w:val="0"/>
          <w:color w:val="0E0E0E"/>
        </w:rPr>
        <w:t xml:space="preserve">Hetzner Online GmbH</w:t>
      </w:r>
      <w:r>
        <w:rPr>
          <w:rFonts w:ascii="Helvetica Neue" w:hAnsi="Helvetica Neue" w:cs="Helvetica Neue"/>
          <w:sz w:val="22"/>
          <w:sz-cs w:val="22"/>
          <w:spacing w:val="0"/>
          <w:color w:val="0E0E0E"/>
        </w:rPr>
        <w:t xml:space="preserve"/>
      </w:r>
    </w:p>
    <w:p>
      <w:pPr/>
      <w:r>
        <w:rPr>
          <w:rFonts w:ascii="Helvetica Neue" w:hAnsi="Helvetica Neue" w:cs="Helvetica Neue"/>
          <w:sz w:val="22"/>
          <w:sz-cs w:val="22"/>
          <w:spacing w:val="0"/>
          <w:color w:val="0E0E0E"/>
        </w:rPr>
        <w:t xml:space="preserve">Germany</w:t>
      </w:r>
    </w:p>
    <w:p>
      <w:pPr/>
      <w:r>
        <w:rPr>
          <w:rFonts w:ascii="Helvetica Neue" w:hAnsi="Helvetica Neue" w:cs="Helvetica Neue"/>
          <w:sz w:val="22"/>
          <w:sz-cs w:val="22"/>
          <w:spacing w:val="0"/>
          <w:color w:val="0E0E0E"/>
        </w:rPr>
        <w:t xml:space="preserve">Primary hosted application, database, server, storage, networking, and backup infrastructure</w:t>
      </w:r>
    </w:p>
    <w:p>
      <w:pPr/>
      <w:r>
        <w:rPr>
          <w:rFonts w:ascii="Helvetica Neue" w:hAnsi="Helvetica Neue" w:cs="Helvetica Neue"/>
          <w:sz w:val="22"/>
          <w:sz-cs w:val="22"/>
          <w:spacing w:val="0"/>
          <w:color w:val="0E0E0E"/>
        </w:rPr>
        <w:t xml:space="preserve">Service term plus deletion/return period</w:t>
      </w:r>
    </w:p>
    <w:p>
      <w:pPr/>
      <w:r>
        <w:rPr>
          <w:rFonts w:ascii="Helvetica Neue" w:hAnsi="Helvetica Neue" w:cs="Helvetica Neue"/>
          <w:sz w:val="22"/>
          <w:sz-cs w:val="22"/>
          <w:spacing w:val="0"/>
          <w:color w:val="0E0E0E"/>
        </w:rPr>
        <w:t xml:space="preserve">Processing in the EEA; no Chapter V transfer for EEA processing</w:t>
      </w:r>
    </w:p>
    <w:p>
      <w:pPr/>
      <w:r>
        <w:rPr>
          <w:rFonts w:ascii="Helvetica Neue" w:hAnsi="Helvetica Neue" w:cs="Helvetica Neue"/>
          <w:sz w:val="22"/>
          <w:sz-cs w:val="22"/>
          <w:b/>
          <w:spacing w:val="0"/>
          <w:color w:val="0E0E0E"/>
        </w:rPr>
        <w:t xml:space="preserve">Cloudflare, Inc.</w:t>
      </w:r>
      <w:r>
        <w:rPr>
          <w:rFonts w:ascii="Helvetica Neue" w:hAnsi="Helvetica Neue" w:cs="Helvetica Neue"/>
          <w:sz w:val="22"/>
          <w:sz-cs w:val="22"/>
          <w:spacing w:val="0"/>
          <w:color w:val="0E0E0E"/>
        </w:rPr>
        <w:t xml:space="preserve"/>
      </w:r>
    </w:p>
    <w:p>
      <w:pPr/>
      <w:r>
        <w:rPr>
          <w:rFonts w:ascii="Helvetica Neue" w:hAnsi="Helvetica Neue" w:cs="Helvetica Neue"/>
          <w:sz w:val="22"/>
          <w:sz-cs w:val="22"/>
          <w:spacing w:val="0"/>
          <w:color w:val="0E0E0E"/>
        </w:rPr>
        <w:t xml:space="preserve">United States and global infrastructure</w:t>
      </w:r>
    </w:p>
    <w:p>
      <w:pPr/>
      <w:r>
        <w:rPr>
          <w:rFonts w:ascii="Helvetica Neue" w:hAnsi="Helvetica Neue" w:cs="Helvetica Neue"/>
          <w:sz w:val="22"/>
          <w:sz-cs w:val="22"/>
          <w:spacing w:val="0"/>
          <w:color w:val="0E0E0E"/>
        </w:rPr>
        <w:t xml:space="preserve">Edge network and security services; Cloudflare R2 object storage for hosted session-replay payloads</w:t>
      </w:r>
    </w:p>
    <w:p>
      <w:pPr/>
      <w:r>
        <w:rPr>
          <w:rFonts w:ascii="Helvetica Neue" w:hAnsi="Helvetica Neue" w:cs="Helvetica Neue"/>
          <w:sz w:val="22"/>
          <w:sz-cs w:val="22"/>
          <w:spacing w:val="0"/>
          <w:color w:val="0E0E0E"/>
        </w:rPr>
        <w:t xml:space="preserve">Service term plus deletion/return period</w:t>
      </w:r>
    </w:p>
    <w:p>
      <w:pPr/>
      <w:r>
        <w:rPr>
          <w:rFonts w:ascii="Helvetica Neue" w:hAnsi="Helvetica Neue" w:cs="Helvetica Neue"/>
          <w:sz w:val="22"/>
          <w:sz-cs w:val="22"/>
          <w:spacing w:val="0"/>
          <w:color w:val="0E0E0E"/>
        </w:rPr>
        <w:t xml:space="preserve">EU-U.S. Data Privacy Framework for covered US transfers; Cloudflare DPA and SCCs as fallback or for other restricted transfers</w:t>
      </w:r>
    </w:p>
    <w:p>
      <w:pPr/>
      <w:r>
        <w:rPr>
          <w:rFonts w:ascii="Helvetica Neue" w:hAnsi="Helvetica Neue" w:cs="Helvetica Neue"/>
          <w:sz w:val="22"/>
          <w:sz-cs w:val="22"/>
          <w:b/>
          <w:spacing w:val="0"/>
          <w:color w:val="0E0E0E"/>
        </w:rPr>
        <w:t xml:space="preserve">Plus Five Five, Inc. (Resend)</w:t>
      </w:r>
      <w:r>
        <w:rPr>
          <w:rFonts w:ascii="Helvetica Neue" w:hAnsi="Helvetica Neue" w:cs="Helvetica Neue"/>
          <w:sz w:val="22"/>
          <w:sz-cs w:val="22"/>
          <w:spacing w:val="0"/>
          <w:color w:val="0E0E0E"/>
        </w:rPr>
        <w:t xml:space="preserve"/>
      </w:r>
    </w:p>
    <w:p>
      <w:pPr/>
      <w:r>
        <w:rPr>
          <w:rFonts w:ascii="Helvetica Neue" w:hAnsi="Helvetica Neue" w:cs="Helvetica Neue"/>
          <w:sz w:val="22"/>
          <w:sz-cs w:val="22"/>
          <w:spacing w:val="0"/>
          <w:color w:val="0E0E0E"/>
        </w:rPr>
        <w:t xml:space="preserve">United States</w:t>
      </w:r>
    </w:p>
    <w:p>
      <w:pPr/>
      <w:r>
        <w:rPr>
          <w:rFonts w:ascii="Helvetica Neue" w:hAnsi="Helvetica Neue" w:cs="Helvetica Neue"/>
          <w:sz w:val="22"/>
          <w:sz-cs w:val="22"/>
          <w:spacing w:val="0"/>
          <w:color w:val="0E0E0E"/>
        </w:rPr>
        <w:t xml:space="preserve">Transactional email delivery, authentication messages, service notifications, and Customer-directed email reports</w:t>
      </w:r>
    </w:p>
    <w:p>
      <w:pPr/>
      <w:r>
        <w:rPr>
          <w:rFonts w:ascii="Helvetica Neue" w:hAnsi="Helvetica Neue" w:cs="Helvetica Neue"/>
          <w:sz w:val="22"/>
          <w:sz-cs w:val="22"/>
          <w:spacing w:val="0"/>
          <w:color w:val="0E0E0E"/>
        </w:rPr>
        <w:t xml:space="preserve">Duration of relevant email and service processing</w:t>
      </w:r>
    </w:p>
    <w:p>
      <w:pPr/>
      <w:r>
        <w:rPr>
          <w:rFonts w:ascii="Helvetica Neue" w:hAnsi="Helvetica Neue" w:cs="Helvetica Neue"/>
          <w:sz w:val="22"/>
          <w:sz-cs w:val="22"/>
          <w:spacing w:val="0"/>
          <w:color w:val="0E0E0E"/>
        </w:rPr>
        <w:t xml:space="preserve">EU-U.S. Data Privacy Framework for covered US transfers; Resend DPA and SCCs as fallback</w:t>
      </w:r>
    </w:p>
    <w:p>
      <w:pPr/>
      <w:r>
        <w:rPr>
          <w:rFonts w:ascii="Helvetica Neue" w:hAnsi="Helvetica Neue" w:cs="Helvetica Neue"/>
          <w:sz w:val="22"/>
          <w:sz-cs w:val="22"/>
          <w:b/>
          <w:spacing w:val="0"/>
          <w:color w:val="0E0E0E"/>
        </w:rPr>
        <w:t xml:space="preserve">OpenRouter, Inc.</w:t>
      </w:r>
      <w:r>
        <w:rPr>
          <w:rFonts w:ascii="Helvetica Neue" w:hAnsi="Helvetica Neue" w:cs="Helvetica Neue"/>
          <w:sz w:val="22"/>
          <w:sz-cs w:val="22"/>
          <w:spacing w:val="0"/>
          <w:color w:val="0E0E0E"/>
        </w:rPr>
        <w:t xml:space="preserve"/>
      </w:r>
    </w:p>
    <w:p>
      <w:pPr/>
      <w:r>
        <w:rPr>
          <w:rFonts w:ascii="Helvetica Neue" w:hAnsi="Helvetica Neue" w:cs="Helvetica Neue"/>
          <w:sz w:val="22"/>
          <w:sz-cs w:val="22"/>
          <w:spacing w:val="0"/>
          <w:color w:val="0E0E0E"/>
        </w:rPr>
        <w:t xml:space="preserve">United States; model-provider location varies</w:t>
      </w:r>
    </w:p>
    <w:p>
      <w:pPr/>
      <w:r>
        <w:rPr>
          <w:rFonts w:ascii="Helvetica Neue" w:hAnsi="Helvetica Neue" w:cs="Helvetica Neue"/>
          <w:sz w:val="22"/>
          <w:sz-cs w:val="22"/>
          <w:spacing w:val="0"/>
          <w:color w:val="0E0E0E"/>
        </w:rPr>
        <w:t xml:space="preserve">Optional AI query generation. Processes Customer prompts, current queries, prompt history, and related technical context; model providers may process prompts according to the selected routing and provider terms</w:t>
      </w:r>
    </w:p>
    <w:p>
      <w:pPr/>
      <w:r>
        <w:rPr>
          <w:rFonts w:ascii="Helvetica Neue" w:hAnsi="Helvetica Neue" w:cs="Helvetica Neue"/>
          <w:sz w:val="22"/>
          <w:sz-cs w:val="22"/>
          <w:spacing w:val="0"/>
          <w:color w:val="0E0E0E"/>
        </w:rPr>
        <w:t xml:space="preserve">Only while the optional feature is used, plus provider deletion/retention period</w:t>
      </w:r>
    </w:p>
    <w:p>
      <w:pPr/>
      <w:r>
        <w:rPr>
          <w:rFonts w:ascii="Helvetica Neue" w:hAnsi="Helvetica Neue" w:cs="Helvetica Neue"/>
          <w:sz w:val="22"/>
          <w:sz-cs w:val="22"/>
          <w:spacing w:val="0"/>
          <w:color w:val="0E0E0E"/>
        </w:rPr>
        <w:t xml:space="preserve">OpenRouter DPA incorporating Module Two SCCs and applicable agreements with model providers </w:t>
      </w:r>
      <w:r>
        <w:rPr>
          <w:rFonts w:ascii="Helvetica Neue" w:hAnsi="Helvetica Neue" w:cs="Helvetica Neue"/>
          <w:sz w:val="22"/>
          <w:sz-cs w:val="22"/>
          <w:b/>
          <w:spacing w:val="0"/>
          <w:color w:val="0E0E0E"/>
        </w:rPr>
        <w:t xml:space="preserve">[COMMERCIAL REVIEW REQUIRED: confirm Rybbit's account is covered by the cited DPA and document enabled model providers and retention settings.]</w:t>
      </w:r>
      <w:r>
        <w:rPr>
          <w:rFonts w:ascii="Helvetica Neue" w:hAnsi="Helvetica Neue" w:cs="Helvetica Neue"/>
          <w:sz w:val="22"/>
          <w:sz-cs w:val="22"/>
          <w:spacing w:val="0"/>
          <w:color w:val="0E0E0E"/>
        </w:rPr>
        <w:t xml:space="preserve"/>
      </w:r>
    </w:p>
    <w:p>
      <w:pPr>
        <w:spacing w:after="280"/>
      </w:pPr>
      <w:r>
        <w:rPr>
          <w:rFonts w:ascii="Helvetica Neue" w:hAnsi="Helvetica Neue" w:cs="Helvetica Neue"/>
          <w:sz w:val="28"/>
          <w:sz-cs w:val="28"/>
          <w:spacing w:val="0"/>
          <w:color w:val="0E0E0E"/>
        </w:rPr>
        <w:t xml:space="preserve">Stripe processes Rybbit subscription and billing information. Stripe ordinarily acts as an independent controller or as Rybbit's processor for Rybbit account administration rather than as a subprocessor of Customer Analytics Data, so it is not listed in Annex III. </w:t>
      </w:r>
      <w:r>
        <w:rPr>
          <w:rFonts w:ascii="Helvetica Neue" w:hAnsi="Helvetica Neue" w:cs="Helvetica Neue"/>
          <w:sz w:val="28"/>
          <w:sz-cs w:val="28"/>
          <w:b/>
          <w:spacing w:val="0"/>
          <w:color w:val="0E0E0E"/>
        </w:rPr>
        <w:t xml:space="preserve">[LEGAL REVIEW REQUIRED: confirm this role classification against Rybbit's Stripe configuration and customer checkout flow.]</w:t>
      </w:r>
      <w:r>
        <w:rPr>
          <w:rFonts w:ascii="Helvetica Neue" w:hAnsi="Helvetica Neue" w:cs="Helvetica Neue"/>
          <w:sz w:val="28"/>
          <w:sz-cs w:val="28"/>
          <w:spacing w:val="0"/>
          <w:color w:val="0E0E0E"/>
        </w:rPr>
        <w:t xml:space="preserve"/>
      </w:r>
    </w:p>
    <w:p>
      <w:pPr>
        <w:spacing w:after="331"/>
      </w:pPr>
      <w:r>
        <w:rPr>
          <w:rFonts w:ascii="Helvetica Neue" w:hAnsi="Helvetica Neue" w:cs="Helvetica Neue"/>
          <w:sz w:val="40"/>
          <w:sz-cs w:val="40"/>
          <w:b/>
          <w:spacing w:val="0"/>
          <w:color w:val="0E0E0E"/>
        </w:rPr>
        <w:t xml:space="preserve">7. Signatures</w:t>
      </w:r>
    </w:p>
    <w:p>
      <w:pPr>
        <w:spacing w:after="280"/>
      </w:pPr>
      <w:r>
        <w:rPr>
          <w:rFonts w:ascii="Helvetica Neue" w:hAnsi="Helvetica Neue" w:cs="Helvetica Neue"/>
          <w:sz w:val="28"/>
          <w:sz-cs w:val="28"/>
          <w:spacing w:val="0"/>
          <w:color w:val="0E0E0E"/>
        </w:rPr>
        <w:t xml:space="preserve">This signature block may be used where the SCC Addendum is not incorporated by a valid electronic acceptance mechanism.</w:t>
      </w:r>
    </w:p>
    <w:p>
      <w:pPr>
        <w:spacing w:after="320"/>
      </w:pPr>
      <w:r>
        <w:rPr>
          <w:rFonts w:ascii="Helvetica Neue" w:hAnsi="Helvetica Neue" w:cs="Helvetica Neue"/>
          <w:sz w:val="32"/>
          <w:sz-cs w:val="32"/>
          <w:b/>
          <w:spacing w:val="0"/>
          <w:color w:val="0E0E0E"/>
        </w:rPr>
        <w:t xml:space="preserve">Customer / Data Exporter</w:t>
      </w:r>
    </w:p>
    <w:p>
      <w:pPr>
        <w:spacing w:after="280"/>
      </w:pPr>
      <w:r>
        <w:rPr>
          <w:rFonts w:ascii="Helvetica Neue" w:hAnsi="Helvetica Neue" w:cs="Helvetica Neue"/>
          <w:sz w:val="28"/>
          <w:sz-cs w:val="28"/>
          <w:spacing w:val="0"/>
          <w:color w:val="0E0E0E"/>
        </w:rPr>
        <w:t xml:space="preserve">Legal name: ______________________________________________</w:t>
      </w:r>
    </w:p>
    <w:p>
      <w:pPr>
        <w:spacing w:after="280"/>
      </w:pPr>
      <w:r>
        <w:rPr>
          <w:rFonts w:ascii="Helvetica Neue" w:hAnsi="Helvetica Neue" w:cs="Helvetica Neue"/>
          <w:sz w:val="28"/>
          <w:sz-cs w:val="28"/>
          <w:spacing w:val="0"/>
          <w:color w:val="0E0E0E"/>
        </w:rPr>
        <w:t xml:space="preserve">By: ______________________________________________________</w:t>
      </w:r>
    </w:p>
    <w:p>
      <w:pPr>
        <w:spacing w:after="280"/>
      </w:pPr>
      <w:r>
        <w:rPr>
          <w:rFonts w:ascii="Helvetica Neue" w:hAnsi="Helvetica Neue" w:cs="Helvetica Neue"/>
          <w:sz w:val="28"/>
          <w:sz-cs w:val="28"/>
          <w:spacing w:val="0"/>
          <w:color w:val="0E0E0E"/>
        </w:rPr>
        <w:t xml:space="preserve">Name and title: __________________________________________</w:t>
      </w:r>
    </w:p>
    <w:p>
      <w:pPr>
        <w:spacing w:after="280"/>
      </w:pPr>
      <w:r>
        <w:rPr>
          <w:rFonts w:ascii="Helvetica Neue" w:hAnsi="Helvetica Neue" w:cs="Helvetica Neue"/>
          <w:sz w:val="28"/>
          <w:sz-cs w:val="28"/>
          <w:spacing w:val="0"/>
          <w:color w:val="0E0E0E"/>
        </w:rPr>
        <w:t xml:space="preserve">Date: ____________________________________________________</w:t>
      </w:r>
    </w:p>
    <w:p>
      <w:pPr>
        <w:spacing w:after="320"/>
      </w:pPr>
      <w:r>
        <w:rPr>
          <w:rFonts w:ascii="Helvetica Neue" w:hAnsi="Helvetica Neue" w:cs="Helvetica Neue"/>
          <w:sz w:val="32"/>
          <w:sz-cs w:val="32"/>
          <w:b/>
          <w:spacing w:val="0"/>
          <w:color w:val="0E0E0E"/>
        </w:rPr>
        <w:t xml:space="preserve">Tomato.gg LLC d/b/a Rybbit / Data Importer</w:t>
      </w:r>
    </w:p>
    <w:p>
      <w:pPr>
        <w:spacing w:after="280"/>
      </w:pPr>
      <w:r>
        <w:rPr>
          <w:rFonts w:ascii="Helvetica Neue" w:hAnsi="Helvetica Neue" w:cs="Helvetica Neue"/>
          <w:sz w:val="28"/>
          <w:sz-cs w:val="28"/>
          <w:spacing w:val="0"/>
          <w:color w:val="0E0E0E"/>
        </w:rPr>
        <w:t xml:space="preserve">By: ______________________________________________________</w:t>
      </w:r>
    </w:p>
    <w:p>
      <w:pPr>
        <w:spacing w:after="280"/>
      </w:pPr>
      <w:r>
        <w:rPr>
          <w:rFonts w:ascii="Helvetica Neue" w:hAnsi="Helvetica Neue" w:cs="Helvetica Neue"/>
          <w:sz w:val="28"/>
          <w:sz-cs w:val="28"/>
          <w:spacing w:val="0"/>
          <w:color w:val="0E0E0E"/>
        </w:rPr>
        <w:t xml:space="preserve">Name and title: __________________________________________</w:t>
      </w:r>
    </w:p>
    <w:p>
      <w:pPr>
        <w:spacing w:after="280"/>
      </w:pPr>
      <w:r>
        <w:rPr>
          <w:rFonts w:ascii="Helvetica Neue" w:hAnsi="Helvetica Neue" w:cs="Helvetica Neue"/>
          <w:sz w:val="28"/>
          <w:sz-cs w:val="28"/>
          <w:spacing w:val="0"/>
          <w:color w:val="0E0E0E"/>
        </w:rPr>
        <w:t xml:space="preserve">Date: ____________________________________________________</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