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5F88A" w14:textId="77777777" w:rsidR="00D3702F" w:rsidRPr="00D3702F" w:rsidRDefault="00D3702F" w:rsidP="00D3702F">
      <w:r w:rsidRPr="00D3702F">
        <w:t xml:space="preserve">This is a very rough outline of the offers of my valuation business. I am trying to develop </w:t>
      </w:r>
      <w:proofErr w:type="gramStart"/>
      <w:r w:rsidRPr="00D3702F">
        <w:t>the</w:t>
      </w:r>
      <w:proofErr w:type="gramEnd"/>
      <w:r w:rsidRPr="00D3702F">
        <w:t xml:space="preserve"> dashboard that will house the report we generate, as well as various KPIs. Starting with the ASC 820 valuation, can you please give me a list of the most important KPIs, analytics, and graphics that we should include in the dashboard?</w:t>
      </w:r>
    </w:p>
    <w:p w14:paraId="3CACA01F" w14:textId="77777777" w:rsidR="00D3702F" w:rsidRPr="00D3702F" w:rsidRDefault="00D3702F" w:rsidP="00D3702F">
      <w:pPr>
        <w:rPr>
          <w:b/>
          <w:bCs/>
        </w:rPr>
      </w:pPr>
      <w:r w:rsidRPr="00D3702F">
        <w:rPr>
          <w:b/>
          <w:bCs/>
        </w:rPr>
        <w:t>Key Performance Indicators (KPIs), Analytics, and Graphics for ASC 820 Dashboard</w:t>
      </w:r>
    </w:p>
    <w:p w14:paraId="4587A4DF" w14:textId="77777777" w:rsidR="00D3702F" w:rsidRPr="00D3702F" w:rsidRDefault="00D3702F" w:rsidP="00D3702F">
      <w:r w:rsidRPr="00D3702F">
        <w:t>Your ASC 820 valuation dashboard should provide clear insights into fair value measurements, portfolio performance, and compliance tracking. Below is a structured list of the most important elements:</w:t>
      </w:r>
    </w:p>
    <w:p w14:paraId="7FCCD028" w14:textId="77777777" w:rsidR="00D3702F" w:rsidRPr="00D3702F" w:rsidRDefault="00000000" w:rsidP="00D3702F">
      <w:r>
        <w:pict w14:anchorId="03FAE365">
          <v:rect id="_x0000_i1025" style="width:0;height:1.5pt" o:hralign="center" o:hrstd="t" o:hr="t" fillcolor="#a0a0a0" stroked="f"/>
        </w:pict>
      </w:r>
    </w:p>
    <w:p w14:paraId="6F5A83DE" w14:textId="77777777" w:rsidR="00D3702F" w:rsidRPr="00D3702F" w:rsidRDefault="00D3702F" w:rsidP="00D3702F">
      <w:pPr>
        <w:rPr>
          <w:b/>
          <w:bCs/>
        </w:rPr>
      </w:pPr>
      <w:r w:rsidRPr="00D3702F">
        <w:rPr>
          <w:b/>
          <w:bCs/>
        </w:rPr>
        <w:t>1. Key Performance Indicators (KPIs)</w:t>
      </w:r>
    </w:p>
    <w:p w14:paraId="7E81C6DE" w14:textId="77777777" w:rsidR="00D3702F" w:rsidRPr="00D3702F" w:rsidRDefault="00D3702F" w:rsidP="00D3702F">
      <w:r w:rsidRPr="00D3702F">
        <w:t>These KPIs should be displayed in summary cards or tables for quick insights.</w:t>
      </w:r>
    </w:p>
    <w:p w14:paraId="53B73027" w14:textId="77777777" w:rsidR="00D3702F" w:rsidRPr="00D3702F" w:rsidRDefault="00D3702F" w:rsidP="00D3702F">
      <w:pPr>
        <w:numPr>
          <w:ilvl w:val="0"/>
          <w:numId w:val="1"/>
        </w:numPr>
      </w:pPr>
      <w:r w:rsidRPr="00D3702F">
        <w:rPr>
          <w:b/>
          <w:bCs/>
        </w:rPr>
        <w:t>Fair Value Changes</w:t>
      </w:r>
      <w:r w:rsidRPr="00D3702F">
        <w:t xml:space="preserve"> – Track changes in fair value over time for individual assets and portfolio segments.</w:t>
      </w:r>
    </w:p>
    <w:p w14:paraId="35BF2B99" w14:textId="77777777" w:rsidR="00D3702F" w:rsidRPr="00D3702F" w:rsidRDefault="00D3702F" w:rsidP="00D3702F">
      <w:pPr>
        <w:numPr>
          <w:ilvl w:val="0"/>
          <w:numId w:val="1"/>
        </w:numPr>
      </w:pPr>
      <w:r w:rsidRPr="00D3702F">
        <w:rPr>
          <w:b/>
          <w:bCs/>
        </w:rPr>
        <w:t>Market Approach Multiples</w:t>
      </w:r>
      <w:r w:rsidRPr="00D3702F">
        <w:t xml:space="preserve"> – Display key multiples used in valuation (EV/EBITDA, P/E, etc.).</w:t>
      </w:r>
    </w:p>
    <w:p w14:paraId="01F867D9" w14:textId="77777777" w:rsidR="00D3702F" w:rsidRPr="00D3702F" w:rsidRDefault="00D3702F" w:rsidP="00D3702F">
      <w:pPr>
        <w:numPr>
          <w:ilvl w:val="0"/>
          <w:numId w:val="1"/>
        </w:numPr>
      </w:pPr>
      <w:r w:rsidRPr="00D3702F">
        <w:rPr>
          <w:b/>
          <w:bCs/>
        </w:rPr>
        <w:t>Income Approach Metrics</w:t>
      </w:r>
      <w:r w:rsidRPr="00D3702F">
        <w:t xml:space="preserve"> – Include discount rates, terminal value assumptions, and cash flow projections.</w:t>
      </w:r>
    </w:p>
    <w:p w14:paraId="31B4AC73" w14:textId="77777777" w:rsidR="00D3702F" w:rsidRPr="00D3702F" w:rsidRDefault="00D3702F" w:rsidP="00D3702F">
      <w:pPr>
        <w:numPr>
          <w:ilvl w:val="0"/>
          <w:numId w:val="1"/>
        </w:numPr>
      </w:pPr>
      <w:r w:rsidRPr="00D3702F">
        <w:rPr>
          <w:b/>
          <w:bCs/>
        </w:rPr>
        <w:t>Cost Approach Factors</w:t>
      </w:r>
      <w:r w:rsidRPr="00D3702F">
        <w:t xml:space="preserve"> – Show adjusted book value comparisons.</w:t>
      </w:r>
    </w:p>
    <w:p w14:paraId="7B488F98" w14:textId="77777777" w:rsidR="00D3702F" w:rsidRPr="00D3702F" w:rsidRDefault="00D3702F" w:rsidP="00D3702F">
      <w:pPr>
        <w:numPr>
          <w:ilvl w:val="0"/>
          <w:numId w:val="1"/>
        </w:numPr>
      </w:pPr>
      <w:r w:rsidRPr="00D3702F">
        <w:rPr>
          <w:b/>
          <w:bCs/>
        </w:rPr>
        <w:t>Portfolio Return Metrics</w:t>
      </w:r>
      <w:r w:rsidRPr="00D3702F">
        <w:t xml:space="preserve"> – Internal Rate of Return (IRR), Total Value to Paid-in (TVPI), and Distributed to Paid-in (DPI).</w:t>
      </w:r>
    </w:p>
    <w:p w14:paraId="29B9A691" w14:textId="77777777" w:rsidR="00D3702F" w:rsidRPr="00D3702F" w:rsidRDefault="00D3702F" w:rsidP="00D3702F">
      <w:pPr>
        <w:numPr>
          <w:ilvl w:val="0"/>
          <w:numId w:val="1"/>
        </w:numPr>
      </w:pPr>
      <w:r w:rsidRPr="00D3702F">
        <w:rPr>
          <w:b/>
          <w:bCs/>
        </w:rPr>
        <w:t>Liquidity &amp; Volatility</w:t>
      </w:r>
      <w:r w:rsidRPr="00D3702F">
        <w:t xml:space="preserve"> – Assess the liquidity of holdings and market volatility impact.</w:t>
      </w:r>
    </w:p>
    <w:p w14:paraId="5237D554" w14:textId="77777777" w:rsidR="00D3702F" w:rsidRPr="00D3702F" w:rsidRDefault="00D3702F" w:rsidP="00D3702F">
      <w:pPr>
        <w:numPr>
          <w:ilvl w:val="0"/>
          <w:numId w:val="1"/>
        </w:numPr>
      </w:pPr>
      <w:r w:rsidRPr="00D3702F">
        <w:rPr>
          <w:b/>
          <w:bCs/>
        </w:rPr>
        <w:t>Sector-Wise Fair Value</w:t>
      </w:r>
      <w:r w:rsidRPr="00D3702F">
        <w:t xml:space="preserve"> – Breakdown of fair value across different industry sectors.</w:t>
      </w:r>
    </w:p>
    <w:p w14:paraId="3792EDA8" w14:textId="10B4253C" w:rsidR="00D33B0C" w:rsidRPr="00D33B0C" w:rsidRDefault="00D3702F" w:rsidP="00D33B0C">
      <w:pPr>
        <w:numPr>
          <w:ilvl w:val="0"/>
          <w:numId w:val="1"/>
        </w:numPr>
      </w:pPr>
      <w:r w:rsidRPr="00D3702F">
        <w:rPr>
          <w:b/>
          <w:bCs/>
        </w:rPr>
        <w:t>Benchmark Comparisons</w:t>
      </w:r>
      <w:r w:rsidRPr="00D3702F">
        <w:t xml:space="preserve"> – Compare portfolio company performance against industry benchmarks.</w:t>
      </w:r>
      <w:r w:rsidR="00D33B0C" w:rsidRPr="00D33B0C">
        <w:rPr>
          <w:rFonts w:ascii="Times New Roman" w:eastAsia="Times New Roman" w:hAnsi="Times New Roman" w:cs="Times New Roman"/>
          <w:kern w:val="0"/>
          <w14:ligatures w14:val="none"/>
        </w:rPr>
        <w:t xml:space="preserve"> </w:t>
      </w:r>
      <w:r w:rsidR="00D33B0C" w:rsidRPr="00D33B0C">
        <w:t>Developing an ASC 820 valuation dashboard involves incorporating key performance indicators (KPIs), analytics, and visualizations that align with fair value measurement principles. This ensures compliance and provides stakeholders with clear insights into portfolio valuations. Below is a structured list of essential components to include in your dashboard:</w:t>
      </w:r>
    </w:p>
    <w:p w14:paraId="1AB41D2D" w14:textId="77777777" w:rsidR="00D33B0C" w:rsidRPr="00D33B0C" w:rsidRDefault="00D33B0C" w:rsidP="00D33B0C">
      <w:pPr>
        <w:ind w:left="360"/>
        <w:rPr>
          <w:b/>
          <w:bCs/>
        </w:rPr>
      </w:pPr>
      <w:r w:rsidRPr="00D33B0C">
        <w:rPr>
          <w:b/>
          <w:bCs/>
        </w:rPr>
        <w:t>1. Key Performance Indicators (KPIs)</w:t>
      </w:r>
    </w:p>
    <w:p w14:paraId="0AD00458" w14:textId="77777777" w:rsidR="00D33B0C" w:rsidRPr="00D33B0C" w:rsidRDefault="00D33B0C" w:rsidP="00D33B0C">
      <w:pPr>
        <w:numPr>
          <w:ilvl w:val="0"/>
          <w:numId w:val="1"/>
        </w:numPr>
      </w:pPr>
      <w:r w:rsidRPr="00D33B0C">
        <w:t>These metrics offer a snapshot of valuation and portfolio health:</w:t>
      </w:r>
    </w:p>
    <w:p w14:paraId="694351E6" w14:textId="77777777" w:rsidR="00D33B0C" w:rsidRPr="00D33B0C" w:rsidRDefault="00D33B0C" w:rsidP="00D33B0C">
      <w:pPr>
        <w:numPr>
          <w:ilvl w:val="0"/>
          <w:numId w:val="1"/>
        </w:numPr>
      </w:pPr>
      <w:r w:rsidRPr="00D33B0C">
        <w:rPr>
          <w:b/>
          <w:bCs/>
        </w:rPr>
        <w:lastRenderedPageBreak/>
        <w:t>Fair Value Measurements</w:t>
      </w:r>
      <w:r w:rsidRPr="00D33B0C">
        <w:t xml:space="preserve">: Track the fair value of assets and liabilities, categorized by the ASC 820 fair value hierarchy levels (Level 1, Level 2, Level 3). </w:t>
      </w:r>
    </w:p>
    <w:p w14:paraId="56A9CBA8" w14:textId="77777777" w:rsidR="00D33B0C" w:rsidRPr="00D33B0C" w:rsidRDefault="00D33B0C" w:rsidP="00D33B0C">
      <w:pPr>
        <w:numPr>
          <w:ilvl w:val="0"/>
          <w:numId w:val="1"/>
        </w:numPr>
      </w:pPr>
      <w:hyperlink r:id="rId5" w:tgtFrame="_blank" w:history="1">
        <w:r w:rsidRPr="00D33B0C">
          <w:rPr>
            <w:rStyle w:val="Hyperlink"/>
          </w:rPr>
          <w:t>viewpoint.pwc.com</w:t>
        </w:r>
      </w:hyperlink>
    </w:p>
    <w:p w14:paraId="4AF6C379" w14:textId="77777777" w:rsidR="00D33B0C" w:rsidRPr="00D33B0C" w:rsidRDefault="00D33B0C" w:rsidP="00D33B0C">
      <w:pPr>
        <w:numPr>
          <w:ilvl w:val="0"/>
          <w:numId w:val="1"/>
        </w:numPr>
      </w:pPr>
      <w:r w:rsidRPr="00D33B0C">
        <w:rPr>
          <w:b/>
          <w:bCs/>
        </w:rPr>
        <w:t>Valuation Approach Metrics</w:t>
      </w:r>
      <w:r w:rsidRPr="00D33B0C">
        <w:t xml:space="preserve">: Monitor the use of market, income, and cost approaches in valuations, ensuring alignment with ASC 820 guidelines. </w:t>
      </w:r>
    </w:p>
    <w:p w14:paraId="77B5D1D2" w14:textId="77777777" w:rsidR="00D33B0C" w:rsidRPr="00D33B0C" w:rsidRDefault="00D33B0C" w:rsidP="00D33B0C">
      <w:pPr>
        <w:numPr>
          <w:ilvl w:val="0"/>
          <w:numId w:val="1"/>
        </w:numPr>
      </w:pPr>
      <w:hyperlink r:id="rId6" w:tgtFrame="_blank" w:history="1">
        <w:r w:rsidRPr="00D33B0C">
          <w:rPr>
            <w:rStyle w:val="Hyperlink"/>
          </w:rPr>
          <w:t>etonvs.com</w:t>
        </w:r>
      </w:hyperlink>
    </w:p>
    <w:p w14:paraId="153F4F77" w14:textId="77777777" w:rsidR="00D33B0C" w:rsidRPr="00D33B0C" w:rsidRDefault="00D33B0C" w:rsidP="00D33B0C">
      <w:pPr>
        <w:numPr>
          <w:ilvl w:val="0"/>
          <w:numId w:val="1"/>
        </w:numPr>
      </w:pPr>
      <w:r w:rsidRPr="00D33B0C">
        <w:rPr>
          <w:b/>
          <w:bCs/>
        </w:rPr>
        <w:t>Unobservable Inputs Analysis</w:t>
      </w:r>
      <w:r w:rsidRPr="00D33B0C">
        <w:t xml:space="preserve">: Evaluate the extent of unobservable inputs (Level 3) used in valuations, reflecting estimation uncertainty. </w:t>
      </w:r>
    </w:p>
    <w:p w14:paraId="38D84A8B" w14:textId="77777777" w:rsidR="00D33B0C" w:rsidRPr="00D33B0C" w:rsidRDefault="00D33B0C" w:rsidP="00D33B0C">
      <w:pPr>
        <w:numPr>
          <w:ilvl w:val="0"/>
          <w:numId w:val="1"/>
        </w:numPr>
      </w:pPr>
      <w:hyperlink r:id="rId7" w:tgtFrame="_blank" w:history="1">
        <w:r w:rsidRPr="00D33B0C">
          <w:rPr>
            <w:rStyle w:val="Hyperlink"/>
          </w:rPr>
          <w:t>kpmg.com</w:t>
        </w:r>
      </w:hyperlink>
    </w:p>
    <w:p w14:paraId="5CB086D1" w14:textId="77777777" w:rsidR="00D33B0C" w:rsidRPr="00D33B0C" w:rsidRDefault="00D33B0C" w:rsidP="00D33B0C">
      <w:pPr>
        <w:numPr>
          <w:ilvl w:val="0"/>
          <w:numId w:val="1"/>
        </w:numPr>
      </w:pPr>
      <w:r w:rsidRPr="00D33B0C">
        <w:rPr>
          <w:b/>
          <w:bCs/>
        </w:rPr>
        <w:t>Asset and Liability Classification</w:t>
      </w:r>
      <w:r w:rsidRPr="00D33B0C">
        <w:t xml:space="preserve">: Categorize assets and liabilities based on liquidity and market activity, aiding in risk assessment. </w:t>
      </w:r>
    </w:p>
    <w:p w14:paraId="7B30F556" w14:textId="77777777" w:rsidR="00D33B0C" w:rsidRPr="00D33B0C" w:rsidRDefault="00D33B0C" w:rsidP="00D33B0C">
      <w:pPr>
        <w:numPr>
          <w:ilvl w:val="0"/>
          <w:numId w:val="1"/>
        </w:numPr>
      </w:pPr>
      <w:hyperlink r:id="rId8" w:tgtFrame="_blank" w:history="1">
        <w:r w:rsidRPr="00D33B0C">
          <w:rPr>
            <w:rStyle w:val="Hyperlink"/>
          </w:rPr>
          <w:t>carta.com</w:t>
        </w:r>
      </w:hyperlink>
    </w:p>
    <w:p w14:paraId="2040D649" w14:textId="77777777" w:rsidR="00D33B0C" w:rsidRPr="00D33B0C" w:rsidRDefault="00D33B0C" w:rsidP="00D33B0C">
      <w:pPr>
        <w:numPr>
          <w:ilvl w:val="0"/>
          <w:numId w:val="1"/>
        </w:numPr>
      </w:pPr>
      <w:r w:rsidRPr="00D33B0C">
        <w:rPr>
          <w:b/>
          <w:bCs/>
        </w:rPr>
        <w:t>Compliance Tracking</w:t>
      </w:r>
      <w:r w:rsidRPr="00D33B0C">
        <w:t xml:space="preserve">: Ensure adherence to ASC 820 disclosure requirements, including valuation techniques and inputs used. </w:t>
      </w:r>
    </w:p>
    <w:p w14:paraId="1A476898" w14:textId="7765A5BB" w:rsidR="00D33B0C" w:rsidRPr="00D3702F" w:rsidRDefault="00D33B0C" w:rsidP="00377153">
      <w:pPr>
        <w:numPr>
          <w:ilvl w:val="0"/>
          <w:numId w:val="1"/>
        </w:numPr>
      </w:pPr>
      <w:hyperlink r:id="rId9" w:tgtFrame="_blank" w:history="1">
        <w:r w:rsidRPr="00D33B0C">
          <w:rPr>
            <w:rStyle w:val="Hyperlink"/>
          </w:rPr>
          <w:t>kpmg.com</w:t>
        </w:r>
      </w:hyperlink>
    </w:p>
    <w:p w14:paraId="6A040DC1" w14:textId="77777777" w:rsidR="00D3702F" w:rsidRPr="00D3702F" w:rsidRDefault="00000000" w:rsidP="00D3702F">
      <w:r>
        <w:pict w14:anchorId="4AF23F4E">
          <v:rect id="_x0000_i1027" style="width:0;height:1.5pt" o:hralign="center" o:hrstd="t" o:hr="t" fillcolor="#a0a0a0" stroked="f"/>
        </w:pict>
      </w:r>
    </w:p>
    <w:p w14:paraId="3890A47E" w14:textId="77777777" w:rsidR="00D3702F" w:rsidRPr="00D3702F" w:rsidRDefault="00D3702F" w:rsidP="00D3702F">
      <w:pPr>
        <w:rPr>
          <w:b/>
          <w:bCs/>
        </w:rPr>
      </w:pPr>
      <w:r w:rsidRPr="00D3702F">
        <w:rPr>
          <w:b/>
          <w:bCs/>
        </w:rPr>
        <w:t>2. Analytics &amp; Insights</w:t>
      </w:r>
    </w:p>
    <w:p w14:paraId="20034786" w14:textId="77777777" w:rsidR="00D3702F" w:rsidRPr="00D3702F" w:rsidRDefault="00D3702F" w:rsidP="00D3702F">
      <w:r w:rsidRPr="00D3702F">
        <w:t>These analytics sections should help stakeholders make informed decisions.</w:t>
      </w:r>
    </w:p>
    <w:p w14:paraId="38DB99AD" w14:textId="77777777" w:rsidR="00D3702F" w:rsidRPr="00D3702F" w:rsidRDefault="00D3702F" w:rsidP="00D3702F">
      <w:pPr>
        <w:numPr>
          <w:ilvl w:val="0"/>
          <w:numId w:val="2"/>
        </w:numPr>
      </w:pPr>
      <w:r w:rsidRPr="00D3702F">
        <w:rPr>
          <w:b/>
          <w:bCs/>
        </w:rPr>
        <w:t>Valuation Trend Analysis</w:t>
      </w:r>
      <w:r w:rsidRPr="00D3702F">
        <w:t xml:space="preserve"> – Show how valuations change quarterly or yearly.</w:t>
      </w:r>
    </w:p>
    <w:p w14:paraId="5BA34BF3" w14:textId="77777777" w:rsidR="00D3702F" w:rsidRPr="00D3702F" w:rsidRDefault="00D3702F" w:rsidP="00D3702F">
      <w:pPr>
        <w:numPr>
          <w:ilvl w:val="0"/>
          <w:numId w:val="2"/>
        </w:numPr>
      </w:pPr>
      <w:r w:rsidRPr="00D3702F">
        <w:rPr>
          <w:b/>
          <w:bCs/>
        </w:rPr>
        <w:t>Portfolio Risk Assessment</w:t>
      </w:r>
      <w:r w:rsidRPr="00D3702F">
        <w:t xml:space="preserve"> – Evaluate risk based on market trends, financial health, and macroeconomic indicators.</w:t>
      </w:r>
    </w:p>
    <w:p w14:paraId="22A59BC5" w14:textId="77777777" w:rsidR="00D3702F" w:rsidRPr="00D3702F" w:rsidRDefault="00D3702F" w:rsidP="00D3702F">
      <w:pPr>
        <w:numPr>
          <w:ilvl w:val="0"/>
          <w:numId w:val="2"/>
        </w:numPr>
      </w:pPr>
      <w:r w:rsidRPr="00D3702F">
        <w:rPr>
          <w:b/>
          <w:bCs/>
        </w:rPr>
        <w:t>Scenario Analysis</w:t>
      </w:r>
      <w:r w:rsidRPr="00D3702F">
        <w:t xml:space="preserve"> – Display different valuation outcomes under best, base, and worst-case scenarios.</w:t>
      </w:r>
    </w:p>
    <w:p w14:paraId="46559D06" w14:textId="77777777" w:rsidR="00D3702F" w:rsidRPr="00D3702F" w:rsidRDefault="00D3702F" w:rsidP="00D3702F">
      <w:pPr>
        <w:numPr>
          <w:ilvl w:val="0"/>
          <w:numId w:val="2"/>
        </w:numPr>
      </w:pPr>
      <w:r w:rsidRPr="00D3702F">
        <w:rPr>
          <w:b/>
          <w:bCs/>
        </w:rPr>
        <w:t>Waterfall Model Insights</w:t>
      </w:r>
      <w:r w:rsidRPr="00D3702F">
        <w:t xml:space="preserve"> – Visualize equity allocation among different shareholder classes.</w:t>
      </w:r>
    </w:p>
    <w:p w14:paraId="5D75BB75" w14:textId="77777777" w:rsidR="00D3702F" w:rsidRPr="00D3702F" w:rsidRDefault="00D3702F" w:rsidP="00D3702F">
      <w:pPr>
        <w:numPr>
          <w:ilvl w:val="0"/>
          <w:numId w:val="2"/>
        </w:numPr>
      </w:pPr>
      <w:r w:rsidRPr="00D3702F">
        <w:rPr>
          <w:b/>
          <w:bCs/>
        </w:rPr>
        <w:t>Exit Sensitivity Analysis</w:t>
      </w:r>
      <w:r w:rsidRPr="00D3702F">
        <w:t xml:space="preserve"> – Show impact of different exit assumptions on fund returns.</w:t>
      </w:r>
    </w:p>
    <w:p w14:paraId="08A54DE6" w14:textId="77777777" w:rsidR="00D3702F" w:rsidRDefault="00D3702F" w:rsidP="00D3702F">
      <w:pPr>
        <w:numPr>
          <w:ilvl w:val="0"/>
          <w:numId w:val="2"/>
        </w:numPr>
      </w:pPr>
      <w:r w:rsidRPr="00D3702F">
        <w:rPr>
          <w:b/>
          <w:bCs/>
        </w:rPr>
        <w:t>Fund Performance Analysis</w:t>
      </w:r>
      <w:r w:rsidRPr="00D3702F">
        <w:t xml:space="preserve"> – Aggregate fund-level performance trends over time.</w:t>
      </w:r>
    </w:p>
    <w:p w14:paraId="43D978D3" w14:textId="77777777" w:rsidR="00335913" w:rsidRDefault="00335913" w:rsidP="00335913">
      <w:pPr>
        <w:ind w:left="720"/>
      </w:pPr>
    </w:p>
    <w:p w14:paraId="2AB0F821" w14:textId="77777777" w:rsidR="00D33B0C" w:rsidRPr="00D33B0C" w:rsidRDefault="00D33B0C" w:rsidP="00335913">
      <w:pPr>
        <w:ind w:firstLine="360"/>
        <w:rPr>
          <w:b/>
          <w:bCs/>
        </w:rPr>
      </w:pPr>
      <w:r w:rsidRPr="00D33B0C">
        <w:rPr>
          <w:b/>
          <w:bCs/>
        </w:rPr>
        <w:lastRenderedPageBreak/>
        <w:t>2. Analytics &amp; Insights</w:t>
      </w:r>
    </w:p>
    <w:p w14:paraId="622BD6F0" w14:textId="77777777" w:rsidR="00D33B0C" w:rsidRPr="00D33B0C" w:rsidRDefault="00D33B0C" w:rsidP="00D33B0C">
      <w:pPr>
        <w:numPr>
          <w:ilvl w:val="0"/>
          <w:numId w:val="2"/>
        </w:numPr>
      </w:pPr>
      <w:r w:rsidRPr="00D33B0C">
        <w:t>These analyses provide deeper understanding and context:</w:t>
      </w:r>
    </w:p>
    <w:p w14:paraId="46E1A3EE" w14:textId="77777777" w:rsidR="00D33B0C" w:rsidRPr="00D33B0C" w:rsidRDefault="00D33B0C" w:rsidP="00D33B0C">
      <w:pPr>
        <w:numPr>
          <w:ilvl w:val="0"/>
          <w:numId w:val="2"/>
        </w:numPr>
      </w:pPr>
      <w:r w:rsidRPr="00D33B0C">
        <w:rPr>
          <w:b/>
          <w:bCs/>
        </w:rPr>
        <w:t>Valuation Technique Analysis</w:t>
      </w:r>
      <w:r w:rsidRPr="00D33B0C">
        <w:t xml:space="preserve">: Assess the effectiveness of different valuation techniques (market, income, cost) and their impact on fair value measurements. </w:t>
      </w:r>
    </w:p>
    <w:p w14:paraId="595ACD22" w14:textId="77777777" w:rsidR="00D33B0C" w:rsidRPr="00D33B0C" w:rsidRDefault="00D33B0C" w:rsidP="00D33B0C">
      <w:pPr>
        <w:numPr>
          <w:ilvl w:val="0"/>
          <w:numId w:val="2"/>
        </w:numPr>
      </w:pPr>
      <w:hyperlink r:id="rId10" w:tgtFrame="_blank" w:history="1">
        <w:r w:rsidRPr="00D33B0C">
          <w:rPr>
            <w:rStyle w:val="Hyperlink"/>
          </w:rPr>
          <w:t>etonvs.com</w:t>
        </w:r>
      </w:hyperlink>
    </w:p>
    <w:p w14:paraId="0B7C6BDE" w14:textId="77777777" w:rsidR="00D33B0C" w:rsidRPr="00D33B0C" w:rsidRDefault="00D33B0C" w:rsidP="00D33B0C">
      <w:pPr>
        <w:numPr>
          <w:ilvl w:val="0"/>
          <w:numId w:val="2"/>
        </w:numPr>
      </w:pPr>
      <w:r w:rsidRPr="00D33B0C">
        <w:rPr>
          <w:b/>
          <w:bCs/>
        </w:rPr>
        <w:t>Market Activity Assessment</w:t>
      </w:r>
      <w:r w:rsidRPr="00D33B0C">
        <w:t xml:space="preserve">: Analyze market conditions affecting </w:t>
      </w:r>
      <w:proofErr w:type="gramStart"/>
      <w:r w:rsidRPr="00D33B0C">
        <w:t>asset</w:t>
      </w:r>
      <w:proofErr w:type="gramEnd"/>
      <w:r w:rsidRPr="00D33B0C">
        <w:t xml:space="preserve"> and liability valuations, considering principal or most advantageous markets. </w:t>
      </w:r>
    </w:p>
    <w:p w14:paraId="3F42E74F" w14:textId="77777777" w:rsidR="00D33B0C" w:rsidRPr="00D33B0C" w:rsidRDefault="00D33B0C" w:rsidP="00D33B0C">
      <w:pPr>
        <w:numPr>
          <w:ilvl w:val="0"/>
          <w:numId w:val="2"/>
        </w:numPr>
      </w:pPr>
      <w:hyperlink r:id="rId11" w:tgtFrame="_blank" w:history="1">
        <w:r w:rsidRPr="00D33B0C">
          <w:rPr>
            <w:rStyle w:val="Hyperlink"/>
          </w:rPr>
          <w:t>viewpoint.pwc.com</w:t>
        </w:r>
      </w:hyperlink>
    </w:p>
    <w:p w14:paraId="04B09C5E" w14:textId="77777777" w:rsidR="00D33B0C" w:rsidRPr="00D33B0C" w:rsidRDefault="00D33B0C" w:rsidP="00D33B0C">
      <w:pPr>
        <w:numPr>
          <w:ilvl w:val="0"/>
          <w:numId w:val="2"/>
        </w:numPr>
      </w:pPr>
      <w:r w:rsidRPr="00D33B0C">
        <w:rPr>
          <w:b/>
          <w:bCs/>
        </w:rPr>
        <w:t>Sensitivity Analysis</w:t>
      </w:r>
      <w:r w:rsidRPr="00D33B0C">
        <w:t xml:space="preserve">: Evaluate how changes in significant inputs affect fair value measurements, particularly for Level 3 assets and liabilities. </w:t>
      </w:r>
    </w:p>
    <w:p w14:paraId="066B6D63" w14:textId="77777777" w:rsidR="00D33B0C" w:rsidRPr="00D33B0C" w:rsidRDefault="00D33B0C" w:rsidP="00D33B0C">
      <w:pPr>
        <w:numPr>
          <w:ilvl w:val="0"/>
          <w:numId w:val="2"/>
        </w:numPr>
      </w:pPr>
      <w:hyperlink r:id="rId12" w:tgtFrame="_blank" w:history="1">
        <w:r w:rsidRPr="00D33B0C">
          <w:rPr>
            <w:rStyle w:val="Hyperlink"/>
          </w:rPr>
          <w:t>kpmg.com</w:t>
        </w:r>
      </w:hyperlink>
    </w:p>
    <w:p w14:paraId="62501B05" w14:textId="77777777" w:rsidR="00D33B0C" w:rsidRPr="00D33B0C" w:rsidRDefault="00D33B0C" w:rsidP="00D33B0C">
      <w:pPr>
        <w:numPr>
          <w:ilvl w:val="0"/>
          <w:numId w:val="2"/>
        </w:numPr>
      </w:pPr>
      <w:r w:rsidRPr="00D33B0C">
        <w:rPr>
          <w:b/>
          <w:bCs/>
        </w:rPr>
        <w:t>Portfolio Diversification Metrics</w:t>
      </w:r>
      <w:r w:rsidRPr="00D33B0C">
        <w:t>: Examine the spread of investments across different levels of the fair value hierarchy to understand risk exposure.</w:t>
      </w:r>
    </w:p>
    <w:p w14:paraId="36298787" w14:textId="77777777" w:rsidR="00D33B0C" w:rsidRPr="00D33B0C" w:rsidRDefault="00D33B0C" w:rsidP="00D33B0C">
      <w:pPr>
        <w:numPr>
          <w:ilvl w:val="0"/>
          <w:numId w:val="2"/>
        </w:numPr>
      </w:pPr>
      <w:r w:rsidRPr="00D33B0C">
        <w:rPr>
          <w:b/>
          <w:bCs/>
        </w:rPr>
        <w:t>Unrealized Gain/Loss Analysis</w:t>
      </w:r>
      <w:r w:rsidRPr="00D33B0C">
        <w:t xml:space="preserve">: Track changes in fair value leading to unrealized gains or losses, impacting financial statements. </w:t>
      </w:r>
    </w:p>
    <w:p w14:paraId="1BEE9403" w14:textId="26B36DC5" w:rsidR="00D33B0C" w:rsidRPr="00D3702F" w:rsidRDefault="00D33B0C" w:rsidP="00D33B0C">
      <w:pPr>
        <w:numPr>
          <w:ilvl w:val="0"/>
          <w:numId w:val="2"/>
        </w:numPr>
      </w:pPr>
      <w:hyperlink r:id="rId13" w:tgtFrame="_blank" w:history="1">
        <w:r w:rsidRPr="00D33B0C">
          <w:rPr>
            <w:rStyle w:val="Hyperlink"/>
          </w:rPr>
          <w:t>viewpoint.pwc.com</w:t>
        </w:r>
      </w:hyperlink>
    </w:p>
    <w:p w14:paraId="48AA3497" w14:textId="77777777" w:rsidR="00D3702F" w:rsidRPr="00D3702F" w:rsidRDefault="00000000" w:rsidP="00D3702F">
      <w:r>
        <w:pict w14:anchorId="4A737438">
          <v:rect id="_x0000_i1028" style="width:0;height:1.5pt" o:hralign="center" o:hrstd="t" o:hr="t" fillcolor="#a0a0a0" stroked="f"/>
        </w:pict>
      </w:r>
    </w:p>
    <w:p w14:paraId="44B05BFF" w14:textId="77777777" w:rsidR="00D3702F" w:rsidRPr="00D3702F" w:rsidRDefault="00D3702F" w:rsidP="00D3702F">
      <w:pPr>
        <w:rPr>
          <w:b/>
          <w:bCs/>
        </w:rPr>
      </w:pPr>
      <w:r w:rsidRPr="00D3702F">
        <w:rPr>
          <w:b/>
          <w:bCs/>
        </w:rPr>
        <w:t>3. Dashboard Graphics &amp; Visualizations</w:t>
      </w:r>
    </w:p>
    <w:p w14:paraId="3CC628FE" w14:textId="77777777" w:rsidR="00D3702F" w:rsidRPr="00D3702F" w:rsidRDefault="00D3702F" w:rsidP="00D3702F">
      <w:r w:rsidRPr="00D3702F">
        <w:t>These visualizations make complex data easier to interpret.</w:t>
      </w:r>
    </w:p>
    <w:p w14:paraId="191F6C92" w14:textId="77777777" w:rsidR="00D3702F" w:rsidRPr="00D3702F" w:rsidRDefault="00D3702F" w:rsidP="00D3702F">
      <w:pPr>
        <w:numPr>
          <w:ilvl w:val="0"/>
          <w:numId w:val="3"/>
        </w:numPr>
      </w:pPr>
      <w:r w:rsidRPr="00D3702F">
        <w:rPr>
          <w:b/>
          <w:bCs/>
        </w:rPr>
        <w:t>Fair Value Trends (Line Chart)</w:t>
      </w:r>
      <w:r w:rsidRPr="00D3702F">
        <w:t xml:space="preserve"> – Show historical fair value fluctuations over different periods.</w:t>
      </w:r>
    </w:p>
    <w:p w14:paraId="6594DDC6" w14:textId="77777777" w:rsidR="00D3702F" w:rsidRPr="00D3702F" w:rsidRDefault="00D3702F" w:rsidP="00D3702F">
      <w:pPr>
        <w:numPr>
          <w:ilvl w:val="0"/>
          <w:numId w:val="3"/>
        </w:numPr>
      </w:pPr>
      <w:r w:rsidRPr="00D3702F">
        <w:rPr>
          <w:b/>
          <w:bCs/>
        </w:rPr>
        <w:t>Portfolio Breakdown (Pie Chart)</w:t>
      </w:r>
      <w:r w:rsidRPr="00D3702F">
        <w:t xml:space="preserve"> – Segment valuation by asset type, geography, or sector.</w:t>
      </w:r>
    </w:p>
    <w:p w14:paraId="1B0CF2BD" w14:textId="77777777" w:rsidR="00D3702F" w:rsidRPr="00D3702F" w:rsidRDefault="00D3702F" w:rsidP="00D3702F">
      <w:pPr>
        <w:numPr>
          <w:ilvl w:val="0"/>
          <w:numId w:val="3"/>
        </w:numPr>
      </w:pPr>
      <w:r w:rsidRPr="00D3702F">
        <w:rPr>
          <w:b/>
          <w:bCs/>
        </w:rPr>
        <w:t>Benchmarking (Bar Chart)</w:t>
      </w:r>
      <w:r w:rsidRPr="00D3702F">
        <w:t xml:space="preserve"> – Compare fair value adjustments against industry averages.</w:t>
      </w:r>
    </w:p>
    <w:p w14:paraId="5AC8EF29" w14:textId="77777777" w:rsidR="00D3702F" w:rsidRPr="00D3702F" w:rsidRDefault="00D3702F" w:rsidP="00D3702F">
      <w:pPr>
        <w:numPr>
          <w:ilvl w:val="0"/>
          <w:numId w:val="3"/>
        </w:numPr>
      </w:pPr>
      <w:r w:rsidRPr="00D3702F">
        <w:rPr>
          <w:b/>
          <w:bCs/>
        </w:rPr>
        <w:t>Waterfall Model (Stacked Column Chart)</w:t>
      </w:r>
      <w:r w:rsidRPr="00D3702F">
        <w:t xml:space="preserve"> – Illustrate the distribution of proceeds across equity holders.</w:t>
      </w:r>
    </w:p>
    <w:p w14:paraId="698BE211" w14:textId="77777777" w:rsidR="00D3702F" w:rsidRPr="00D3702F" w:rsidRDefault="00D3702F" w:rsidP="00D3702F">
      <w:pPr>
        <w:numPr>
          <w:ilvl w:val="0"/>
          <w:numId w:val="3"/>
        </w:numPr>
      </w:pPr>
      <w:r w:rsidRPr="00D3702F">
        <w:rPr>
          <w:b/>
          <w:bCs/>
        </w:rPr>
        <w:t>Exit Sensitivity (Heatmap or Scenario Table)</w:t>
      </w:r>
      <w:r w:rsidRPr="00D3702F">
        <w:t xml:space="preserve"> – Present multiple exit valuation scenarios.</w:t>
      </w:r>
    </w:p>
    <w:p w14:paraId="366C8EC7" w14:textId="77777777" w:rsidR="00D3702F" w:rsidRPr="00D3702F" w:rsidRDefault="00D3702F" w:rsidP="00D3702F">
      <w:pPr>
        <w:numPr>
          <w:ilvl w:val="0"/>
          <w:numId w:val="3"/>
        </w:numPr>
      </w:pPr>
      <w:r w:rsidRPr="00D3702F">
        <w:rPr>
          <w:b/>
          <w:bCs/>
        </w:rPr>
        <w:lastRenderedPageBreak/>
        <w:t>Risk Analysis (Scatter Plot or Bubble Chart)</w:t>
      </w:r>
      <w:r w:rsidRPr="00D3702F">
        <w:t xml:space="preserve"> – Assess risk-return profiles of different investments.</w:t>
      </w:r>
    </w:p>
    <w:p w14:paraId="7DAE31A5" w14:textId="77777777" w:rsidR="00D3702F" w:rsidRPr="00D3702F" w:rsidRDefault="00D3702F" w:rsidP="00D3702F">
      <w:pPr>
        <w:numPr>
          <w:ilvl w:val="0"/>
          <w:numId w:val="3"/>
        </w:numPr>
      </w:pPr>
      <w:r w:rsidRPr="00D3702F">
        <w:rPr>
          <w:b/>
          <w:bCs/>
        </w:rPr>
        <w:t>Cash Flow Projections (Area Chart)</w:t>
      </w:r>
      <w:r w:rsidRPr="00D3702F">
        <w:t xml:space="preserve"> – Show future expected cash inflows based on valuation models.</w:t>
      </w:r>
    </w:p>
    <w:p w14:paraId="1EB3807A" w14:textId="77777777" w:rsidR="00D3702F" w:rsidRDefault="00D3702F" w:rsidP="00D3702F">
      <w:pPr>
        <w:numPr>
          <w:ilvl w:val="0"/>
          <w:numId w:val="3"/>
        </w:numPr>
      </w:pPr>
      <w:r w:rsidRPr="00D3702F">
        <w:rPr>
          <w:b/>
          <w:bCs/>
        </w:rPr>
        <w:t>Investor Report Summary (Interactive PDF or Exportable Table)</w:t>
      </w:r>
      <w:r w:rsidRPr="00D3702F">
        <w:t xml:space="preserve"> – Generate investor-friendly reports summarizing key metrics.</w:t>
      </w:r>
    </w:p>
    <w:p w14:paraId="37A2C492" w14:textId="77777777" w:rsidR="00E50CC3" w:rsidRPr="008C4B72" w:rsidRDefault="00E50CC3" w:rsidP="00E50CC3">
      <w:pPr>
        <w:ind w:left="360"/>
        <w:rPr>
          <w:b/>
          <w:bCs/>
        </w:rPr>
      </w:pPr>
      <w:r w:rsidRPr="008C4B72">
        <w:rPr>
          <w:b/>
          <w:bCs/>
        </w:rPr>
        <w:t>3. Dashboard Visualizations</w:t>
      </w:r>
    </w:p>
    <w:p w14:paraId="7A5BE44F" w14:textId="77777777" w:rsidR="00E50CC3" w:rsidRPr="008C4B72" w:rsidRDefault="00E50CC3" w:rsidP="00E50CC3">
      <w:pPr>
        <w:ind w:left="360"/>
        <w:rPr>
          <w:b/>
          <w:bCs/>
        </w:rPr>
      </w:pPr>
      <w:r w:rsidRPr="008C4B72">
        <w:rPr>
          <w:b/>
          <w:bCs/>
        </w:rPr>
        <w:t>Effective visualizations enhance data comprehension:</w:t>
      </w:r>
    </w:p>
    <w:p w14:paraId="3252B1A5" w14:textId="77777777" w:rsidR="00E50CC3" w:rsidRPr="00E50CC3" w:rsidRDefault="00E50CC3" w:rsidP="00E50CC3">
      <w:pPr>
        <w:numPr>
          <w:ilvl w:val="0"/>
          <w:numId w:val="10"/>
        </w:numPr>
      </w:pPr>
      <w:r w:rsidRPr="00E50CC3">
        <w:t>Fair Value Hierarchy Distribution (Bar Chart): Illustrate the proportion of assets and liabilities across Levels 1, 2, and 3.</w:t>
      </w:r>
    </w:p>
    <w:p w14:paraId="2975E607" w14:textId="77777777" w:rsidR="00E50CC3" w:rsidRPr="00E50CC3" w:rsidRDefault="00E50CC3" w:rsidP="00E50CC3">
      <w:pPr>
        <w:numPr>
          <w:ilvl w:val="0"/>
          <w:numId w:val="10"/>
        </w:numPr>
      </w:pPr>
      <w:r w:rsidRPr="00E50CC3">
        <w:t>Valuation Approach Utilization (Pie Chart): Depict the usage ratio of market, income, and cost approaches in valuations.</w:t>
      </w:r>
    </w:p>
    <w:p w14:paraId="2B066147" w14:textId="77777777" w:rsidR="00E50CC3" w:rsidRPr="00E50CC3" w:rsidRDefault="00E50CC3" w:rsidP="00E50CC3">
      <w:pPr>
        <w:numPr>
          <w:ilvl w:val="0"/>
          <w:numId w:val="10"/>
        </w:numPr>
      </w:pPr>
      <w:r w:rsidRPr="00E50CC3">
        <w:t>Sensitivity Analysis (Tornado Diagram): Visualize the impact of individual input variables on valuation outcomes.</w:t>
      </w:r>
    </w:p>
    <w:p w14:paraId="2ECEA641" w14:textId="77777777" w:rsidR="00E50CC3" w:rsidRPr="00E50CC3" w:rsidRDefault="00E50CC3" w:rsidP="00E50CC3">
      <w:pPr>
        <w:numPr>
          <w:ilvl w:val="0"/>
          <w:numId w:val="10"/>
        </w:numPr>
      </w:pPr>
      <w:r w:rsidRPr="00E50CC3">
        <w:t>Unobservable Inputs Trend (Line Chart): Show trends in the use of unobservable inputs over time, indicating changes in estimation uncertainty.</w:t>
      </w:r>
    </w:p>
    <w:p w14:paraId="6D54FBA0" w14:textId="48CCCDB3" w:rsidR="00335913" w:rsidRPr="00E50CC3" w:rsidRDefault="00E50CC3" w:rsidP="00E50CC3">
      <w:pPr>
        <w:ind w:left="720"/>
      </w:pPr>
      <w:r w:rsidRPr="00E50CC3">
        <w:t>Compliance Checklist (Checklist Widget): Display the status of adherence to ASC 820 disclosure requirements.</w:t>
      </w:r>
    </w:p>
    <w:p w14:paraId="675493C5" w14:textId="77777777" w:rsidR="00D3702F" w:rsidRPr="00D3702F" w:rsidRDefault="00000000" w:rsidP="00D3702F">
      <w:r>
        <w:pict w14:anchorId="4A3E5CDD">
          <v:rect id="_x0000_i1029" style="width:0;height:1.5pt" o:hralign="center" o:hrstd="t" o:hr="t" fillcolor="#a0a0a0" stroked="f"/>
        </w:pict>
      </w:r>
    </w:p>
    <w:p w14:paraId="32B5E966" w14:textId="77777777" w:rsidR="00D3702F" w:rsidRPr="00D3702F" w:rsidRDefault="00D3702F" w:rsidP="00D3702F">
      <w:pPr>
        <w:rPr>
          <w:b/>
          <w:bCs/>
        </w:rPr>
      </w:pPr>
      <w:r w:rsidRPr="00D3702F">
        <w:rPr>
          <w:b/>
          <w:bCs/>
        </w:rPr>
        <w:t>4. User Interactions &amp; Features</w:t>
      </w:r>
    </w:p>
    <w:p w14:paraId="07C7B910" w14:textId="77777777" w:rsidR="00D3702F" w:rsidRPr="00D3702F" w:rsidRDefault="00D3702F" w:rsidP="00D3702F">
      <w:r w:rsidRPr="00D3702F">
        <w:t>Additional functionalities to make the dashboard more useful.</w:t>
      </w:r>
    </w:p>
    <w:p w14:paraId="14134779" w14:textId="77777777" w:rsidR="00D3702F" w:rsidRPr="00D3702F" w:rsidRDefault="00D3702F" w:rsidP="00D3702F">
      <w:pPr>
        <w:numPr>
          <w:ilvl w:val="0"/>
          <w:numId w:val="4"/>
        </w:numPr>
      </w:pPr>
      <w:r w:rsidRPr="00D3702F">
        <w:rPr>
          <w:b/>
          <w:bCs/>
        </w:rPr>
        <w:t>Dynamic Filtering</w:t>
      </w:r>
      <w:r w:rsidRPr="00D3702F">
        <w:t xml:space="preserve"> – Allow users to filter data by asset class, valuation date, or sector.</w:t>
      </w:r>
    </w:p>
    <w:p w14:paraId="42A9AA53" w14:textId="77777777" w:rsidR="00D3702F" w:rsidRPr="00D3702F" w:rsidRDefault="00D3702F" w:rsidP="00D3702F">
      <w:pPr>
        <w:numPr>
          <w:ilvl w:val="0"/>
          <w:numId w:val="4"/>
        </w:numPr>
      </w:pPr>
      <w:r w:rsidRPr="00D3702F">
        <w:rPr>
          <w:b/>
          <w:bCs/>
        </w:rPr>
        <w:t>Drill-down Reports</w:t>
      </w:r>
      <w:r w:rsidRPr="00D3702F">
        <w:t xml:space="preserve"> – Clickable reports that expand into detailed valuation breakdowns.</w:t>
      </w:r>
    </w:p>
    <w:p w14:paraId="01F802EE" w14:textId="77777777" w:rsidR="00D3702F" w:rsidRPr="00D3702F" w:rsidRDefault="00D3702F" w:rsidP="00D3702F">
      <w:pPr>
        <w:numPr>
          <w:ilvl w:val="0"/>
          <w:numId w:val="4"/>
        </w:numPr>
      </w:pPr>
      <w:r w:rsidRPr="00D3702F">
        <w:rPr>
          <w:b/>
          <w:bCs/>
        </w:rPr>
        <w:t>Comparison Tools</w:t>
      </w:r>
      <w:r w:rsidRPr="00D3702F">
        <w:t xml:space="preserve"> – Compare different valuation models side by side.</w:t>
      </w:r>
    </w:p>
    <w:p w14:paraId="22951099" w14:textId="77777777" w:rsidR="00D3702F" w:rsidRPr="00D3702F" w:rsidRDefault="00D3702F" w:rsidP="00D3702F">
      <w:pPr>
        <w:numPr>
          <w:ilvl w:val="0"/>
          <w:numId w:val="4"/>
        </w:numPr>
      </w:pPr>
      <w:r w:rsidRPr="00D3702F">
        <w:rPr>
          <w:b/>
          <w:bCs/>
        </w:rPr>
        <w:t>Custom Alerts</w:t>
      </w:r>
      <w:r w:rsidRPr="00D3702F">
        <w:t xml:space="preserve"> – Notify stakeholders of significant valuation changes or compliance issues.</w:t>
      </w:r>
    </w:p>
    <w:p w14:paraId="1C1ED26C" w14:textId="4D9B1ECF" w:rsidR="00120EFC" w:rsidRPr="00D3702F" w:rsidRDefault="00D3702F" w:rsidP="00120EFC">
      <w:pPr>
        <w:numPr>
          <w:ilvl w:val="0"/>
          <w:numId w:val="4"/>
        </w:numPr>
      </w:pPr>
      <w:r w:rsidRPr="00D3702F">
        <w:rPr>
          <w:b/>
          <w:bCs/>
        </w:rPr>
        <w:t>Export &amp; Integration</w:t>
      </w:r>
      <w:r w:rsidRPr="00D3702F">
        <w:t xml:space="preserve"> – Enable exporting reports in PDF/Excel and integration with portfolio management software.</w:t>
      </w:r>
    </w:p>
    <w:p w14:paraId="64AC1607" w14:textId="77777777" w:rsidR="00D3702F" w:rsidRPr="00D3702F" w:rsidRDefault="00000000" w:rsidP="00D3702F">
      <w:r>
        <w:lastRenderedPageBreak/>
        <w:pict w14:anchorId="557D5FED">
          <v:rect id="_x0000_i1030" style="width:0;height:1.5pt" o:hralign="center" o:hrstd="t" o:hr="t" fillcolor="#a0a0a0" stroked="f"/>
        </w:pict>
      </w:r>
    </w:p>
    <w:p w14:paraId="38D5F7B7" w14:textId="77777777" w:rsidR="00D3702F" w:rsidRPr="00D3702F" w:rsidRDefault="00D3702F" w:rsidP="00D3702F">
      <w:pPr>
        <w:rPr>
          <w:b/>
          <w:bCs/>
        </w:rPr>
      </w:pPr>
      <w:r w:rsidRPr="00D3702F">
        <w:rPr>
          <w:b/>
          <w:bCs/>
        </w:rPr>
        <w:t>Next Steps</w:t>
      </w:r>
    </w:p>
    <w:p w14:paraId="038CF3E9" w14:textId="77777777" w:rsidR="00D3702F" w:rsidRPr="00D3702F" w:rsidRDefault="00D3702F" w:rsidP="00D3702F">
      <w:r w:rsidRPr="00D3702F">
        <w:t>If you’re building this dashboard, the first steps should be:</w:t>
      </w:r>
    </w:p>
    <w:p w14:paraId="5175EF9C" w14:textId="77777777" w:rsidR="00D3702F" w:rsidRPr="00D3702F" w:rsidRDefault="00D3702F" w:rsidP="00D3702F">
      <w:pPr>
        <w:numPr>
          <w:ilvl w:val="0"/>
          <w:numId w:val="5"/>
        </w:numPr>
      </w:pPr>
      <w:r w:rsidRPr="00D3702F">
        <w:rPr>
          <w:b/>
          <w:bCs/>
        </w:rPr>
        <w:t>Define Data Sources</w:t>
      </w:r>
      <w:r w:rsidRPr="00D3702F">
        <w:t xml:space="preserve"> – Identify the inputs required for valuation models.</w:t>
      </w:r>
    </w:p>
    <w:p w14:paraId="347615D4" w14:textId="77777777" w:rsidR="00D3702F" w:rsidRPr="00D3702F" w:rsidRDefault="00D3702F" w:rsidP="00D3702F">
      <w:pPr>
        <w:numPr>
          <w:ilvl w:val="0"/>
          <w:numId w:val="5"/>
        </w:numPr>
      </w:pPr>
      <w:r w:rsidRPr="00D3702F">
        <w:rPr>
          <w:b/>
          <w:bCs/>
        </w:rPr>
        <w:t>Design Wireframes</w:t>
      </w:r>
      <w:r w:rsidRPr="00D3702F">
        <w:t xml:space="preserve"> – Sketch how the dashboard will be structured.</w:t>
      </w:r>
    </w:p>
    <w:p w14:paraId="31303DE8" w14:textId="77777777" w:rsidR="00D3702F" w:rsidRPr="00D3702F" w:rsidRDefault="00D3702F" w:rsidP="00D3702F">
      <w:pPr>
        <w:numPr>
          <w:ilvl w:val="0"/>
          <w:numId w:val="5"/>
        </w:numPr>
      </w:pPr>
      <w:r w:rsidRPr="00D3702F">
        <w:rPr>
          <w:b/>
          <w:bCs/>
        </w:rPr>
        <w:t>Select Tech Stack</w:t>
      </w:r>
      <w:r w:rsidRPr="00D3702F">
        <w:t xml:space="preserve"> – Choose the frontend (React, Vue) and backend (Django, PostgreSQL) for development.</w:t>
      </w:r>
    </w:p>
    <w:p w14:paraId="22C3C998" w14:textId="77777777" w:rsidR="00D3702F" w:rsidRPr="00D3702F" w:rsidRDefault="00D3702F" w:rsidP="00D3702F">
      <w:pPr>
        <w:numPr>
          <w:ilvl w:val="0"/>
          <w:numId w:val="5"/>
        </w:numPr>
      </w:pPr>
      <w:r w:rsidRPr="00D3702F">
        <w:rPr>
          <w:b/>
          <w:bCs/>
        </w:rPr>
        <w:t>Develop &amp; Iterate</w:t>
      </w:r>
      <w:r w:rsidRPr="00D3702F">
        <w:t xml:space="preserve"> – Start with core KPIs and expand based on user feedback.</w:t>
      </w:r>
    </w:p>
    <w:p w14:paraId="4C199DAA" w14:textId="77777777" w:rsidR="00D3702F" w:rsidRPr="00D3702F" w:rsidRDefault="00D3702F" w:rsidP="00D3702F">
      <w:r w:rsidRPr="00D3702F">
        <w:t>Would you like me to draft a wireframe concept for the dashboard layout?</w:t>
      </w:r>
    </w:p>
    <w:p w14:paraId="5CCC57AD" w14:textId="709DB43F" w:rsidR="00221670" w:rsidRDefault="00D3702F">
      <w:r>
        <w:rPr>
          <w:noProof/>
        </w:rPr>
        <w:drawing>
          <wp:inline distT="0" distB="0" distL="0" distR="0" wp14:anchorId="72C94007" wp14:editId="37E77384">
            <wp:extent cx="5943600" cy="4340860"/>
            <wp:effectExtent l="0" t="0" r="0" b="2540"/>
            <wp:docPr id="1326350649"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utput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340860"/>
                    </a:xfrm>
                    <a:prstGeom prst="rect">
                      <a:avLst/>
                    </a:prstGeom>
                    <a:noFill/>
                    <a:ln>
                      <a:noFill/>
                    </a:ln>
                  </pic:spPr>
                </pic:pic>
              </a:graphicData>
            </a:graphic>
          </wp:inline>
        </w:drawing>
      </w:r>
    </w:p>
    <w:sectPr w:rsidR="00221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60AC6"/>
    <w:multiLevelType w:val="multilevel"/>
    <w:tmpl w:val="17BA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B7E71"/>
    <w:multiLevelType w:val="multilevel"/>
    <w:tmpl w:val="2C88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F3256"/>
    <w:multiLevelType w:val="multilevel"/>
    <w:tmpl w:val="AEA6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E2227"/>
    <w:multiLevelType w:val="multilevel"/>
    <w:tmpl w:val="DF96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92E2E"/>
    <w:multiLevelType w:val="multilevel"/>
    <w:tmpl w:val="B66C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C2CEE"/>
    <w:multiLevelType w:val="multilevel"/>
    <w:tmpl w:val="D888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D07094"/>
    <w:multiLevelType w:val="multilevel"/>
    <w:tmpl w:val="6EF8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35E5E"/>
    <w:multiLevelType w:val="multilevel"/>
    <w:tmpl w:val="EC30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90A43"/>
    <w:multiLevelType w:val="multilevel"/>
    <w:tmpl w:val="AB1C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8A4273"/>
    <w:multiLevelType w:val="multilevel"/>
    <w:tmpl w:val="E3DC0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D11488"/>
    <w:multiLevelType w:val="multilevel"/>
    <w:tmpl w:val="C236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113273">
    <w:abstractNumId w:val="7"/>
  </w:num>
  <w:num w:numId="2" w16cid:durableId="1256745211">
    <w:abstractNumId w:val="4"/>
  </w:num>
  <w:num w:numId="3" w16cid:durableId="1735351080">
    <w:abstractNumId w:val="6"/>
  </w:num>
  <w:num w:numId="4" w16cid:durableId="1764566150">
    <w:abstractNumId w:val="10"/>
  </w:num>
  <w:num w:numId="5" w16cid:durableId="186909560">
    <w:abstractNumId w:val="9"/>
  </w:num>
  <w:num w:numId="6" w16cid:durableId="1785927924">
    <w:abstractNumId w:val="2"/>
  </w:num>
  <w:num w:numId="7" w16cid:durableId="1151365637">
    <w:abstractNumId w:val="5"/>
  </w:num>
  <w:num w:numId="8" w16cid:durableId="512568769">
    <w:abstractNumId w:val="3"/>
  </w:num>
  <w:num w:numId="9" w16cid:durableId="1140195789">
    <w:abstractNumId w:val="0"/>
  </w:num>
  <w:num w:numId="10" w16cid:durableId="612246283">
    <w:abstractNumId w:val="8"/>
  </w:num>
  <w:num w:numId="11" w16cid:durableId="1361933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02F"/>
    <w:rsid w:val="00120EFC"/>
    <w:rsid w:val="00221670"/>
    <w:rsid w:val="002D4A68"/>
    <w:rsid w:val="00335913"/>
    <w:rsid w:val="0034427D"/>
    <w:rsid w:val="00377153"/>
    <w:rsid w:val="004A0237"/>
    <w:rsid w:val="00946988"/>
    <w:rsid w:val="00961A5B"/>
    <w:rsid w:val="00BB7525"/>
    <w:rsid w:val="00BC2C00"/>
    <w:rsid w:val="00D33B0C"/>
    <w:rsid w:val="00D3702F"/>
    <w:rsid w:val="00DA3B75"/>
    <w:rsid w:val="00DD6231"/>
    <w:rsid w:val="00E3032F"/>
    <w:rsid w:val="00E50CC3"/>
    <w:rsid w:val="00E86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3E5E92"/>
  <w15:chartTrackingRefBased/>
  <w15:docId w15:val="{A453936F-7762-4887-8B87-2EDA97C5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0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0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0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0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0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0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0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0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0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0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02F"/>
    <w:rPr>
      <w:rFonts w:eastAsiaTheme="majorEastAsia" w:cstheme="majorBidi"/>
      <w:color w:val="272727" w:themeColor="text1" w:themeTint="D8"/>
    </w:rPr>
  </w:style>
  <w:style w:type="paragraph" w:styleId="Title">
    <w:name w:val="Title"/>
    <w:basedOn w:val="Normal"/>
    <w:next w:val="Normal"/>
    <w:link w:val="TitleChar"/>
    <w:uiPriority w:val="10"/>
    <w:qFormat/>
    <w:rsid w:val="00D37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02F"/>
    <w:pPr>
      <w:spacing w:before="160"/>
      <w:jc w:val="center"/>
    </w:pPr>
    <w:rPr>
      <w:i/>
      <w:iCs/>
      <w:color w:val="404040" w:themeColor="text1" w:themeTint="BF"/>
    </w:rPr>
  </w:style>
  <w:style w:type="character" w:customStyle="1" w:styleId="QuoteChar">
    <w:name w:val="Quote Char"/>
    <w:basedOn w:val="DefaultParagraphFont"/>
    <w:link w:val="Quote"/>
    <w:uiPriority w:val="29"/>
    <w:rsid w:val="00D3702F"/>
    <w:rPr>
      <w:i/>
      <w:iCs/>
      <w:color w:val="404040" w:themeColor="text1" w:themeTint="BF"/>
    </w:rPr>
  </w:style>
  <w:style w:type="paragraph" w:styleId="ListParagraph">
    <w:name w:val="List Paragraph"/>
    <w:basedOn w:val="Normal"/>
    <w:uiPriority w:val="34"/>
    <w:qFormat/>
    <w:rsid w:val="00D3702F"/>
    <w:pPr>
      <w:ind w:left="720"/>
      <w:contextualSpacing/>
    </w:pPr>
  </w:style>
  <w:style w:type="character" w:styleId="IntenseEmphasis">
    <w:name w:val="Intense Emphasis"/>
    <w:basedOn w:val="DefaultParagraphFont"/>
    <w:uiPriority w:val="21"/>
    <w:qFormat/>
    <w:rsid w:val="00D3702F"/>
    <w:rPr>
      <w:i/>
      <w:iCs/>
      <w:color w:val="0F4761" w:themeColor="accent1" w:themeShade="BF"/>
    </w:rPr>
  </w:style>
  <w:style w:type="paragraph" w:styleId="IntenseQuote">
    <w:name w:val="Intense Quote"/>
    <w:basedOn w:val="Normal"/>
    <w:next w:val="Normal"/>
    <w:link w:val="IntenseQuoteChar"/>
    <w:uiPriority w:val="30"/>
    <w:qFormat/>
    <w:rsid w:val="00D370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02F"/>
    <w:rPr>
      <w:i/>
      <w:iCs/>
      <w:color w:val="0F4761" w:themeColor="accent1" w:themeShade="BF"/>
    </w:rPr>
  </w:style>
  <w:style w:type="character" w:styleId="IntenseReference">
    <w:name w:val="Intense Reference"/>
    <w:basedOn w:val="DefaultParagraphFont"/>
    <w:uiPriority w:val="32"/>
    <w:qFormat/>
    <w:rsid w:val="00D3702F"/>
    <w:rPr>
      <w:b/>
      <w:bCs/>
      <w:smallCaps/>
      <w:color w:val="0F4761" w:themeColor="accent1" w:themeShade="BF"/>
      <w:spacing w:val="5"/>
    </w:rPr>
  </w:style>
  <w:style w:type="paragraph" w:styleId="NormalWeb">
    <w:name w:val="Normal (Web)"/>
    <w:basedOn w:val="Normal"/>
    <w:uiPriority w:val="99"/>
    <w:semiHidden/>
    <w:unhideWhenUsed/>
    <w:rsid w:val="00D33B0C"/>
    <w:rPr>
      <w:rFonts w:ascii="Times New Roman" w:hAnsi="Times New Roman" w:cs="Times New Roman"/>
    </w:rPr>
  </w:style>
  <w:style w:type="character" w:styleId="Hyperlink">
    <w:name w:val="Hyperlink"/>
    <w:basedOn w:val="DefaultParagraphFont"/>
    <w:uiPriority w:val="99"/>
    <w:unhideWhenUsed/>
    <w:rsid w:val="00D33B0C"/>
    <w:rPr>
      <w:color w:val="467886" w:themeColor="hyperlink"/>
      <w:u w:val="single"/>
    </w:rPr>
  </w:style>
  <w:style w:type="character" w:styleId="UnresolvedMention">
    <w:name w:val="Unresolved Mention"/>
    <w:basedOn w:val="DefaultParagraphFont"/>
    <w:uiPriority w:val="99"/>
    <w:semiHidden/>
    <w:unhideWhenUsed/>
    <w:rsid w:val="00D33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903768">
      <w:bodyDiv w:val="1"/>
      <w:marLeft w:val="0"/>
      <w:marRight w:val="0"/>
      <w:marTop w:val="0"/>
      <w:marBottom w:val="0"/>
      <w:divBdr>
        <w:top w:val="none" w:sz="0" w:space="0" w:color="auto"/>
        <w:left w:val="none" w:sz="0" w:space="0" w:color="auto"/>
        <w:bottom w:val="none" w:sz="0" w:space="0" w:color="auto"/>
        <w:right w:val="none" w:sz="0" w:space="0" w:color="auto"/>
      </w:divBdr>
      <w:divsChild>
        <w:div w:id="380980681">
          <w:marLeft w:val="0"/>
          <w:marRight w:val="0"/>
          <w:marTop w:val="0"/>
          <w:marBottom w:val="0"/>
          <w:divBdr>
            <w:top w:val="none" w:sz="0" w:space="0" w:color="auto"/>
            <w:left w:val="none" w:sz="0" w:space="0" w:color="auto"/>
            <w:bottom w:val="none" w:sz="0" w:space="0" w:color="auto"/>
            <w:right w:val="none" w:sz="0" w:space="0" w:color="auto"/>
          </w:divBdr>
          <w:divsChild>
            <w:div w:id="533661420">
              <w:marLeft w:val="0"/>
              <w:marRight w:val="0"/>
              <w:marTop w:val="0"/>
              <w:marBottom w:val="0"/>
              <w:divBdr>
                <w:top w:val="none" w:sz="0" w:space="0" w:color="auto"/>
                <w:left w:val="none" w:sz="0" w:space="0" w:color="auto"/>
                <w:bottom w:val="none" w:sz="0" w:space="0" w:color="auto"/>
                <w:right w:val="none" w:sz="0" w:space="0" w:color="auto"/>
              </w:divBdr>
              <w:divsChild>
                <w:div w:id="1292634464">
                  <w:marLeft w:val="0"/>
                  <w:marRight w:val="0"/>
                  <w:marTop w:val="0"/>
                  <w:marBottom w:val="0"/>
                  <w:divBdr>
                    <w:top w:val="none" w:sz="0" w:space="0" w:color="auto"/>
                    <w:left w:val="none" w:sz="0" w:space="0" w:color="auto"/>
                    <w:bottom w:val="none" w:sz="0" w:space="0" w:color="auto"/>
                    <w:right w:val="none" w:sz="0" w:space="0" w:color="auto"/>
                  </w:divBdr>
                  <w:divsChild>
                    <w:div w:id="1483237362">
                      <w:marLeft w:val="0"/>
                      <w:marRight w:val="0"/>
                      <w:marTop w:val="0"/>
                      <w:marBottom w:val="0"/>
                      <w:divBdr>
                        <w:top w:val="none" w:sz="0" w:space="0" w:color="auto"/>
                        <w:left w:val="none" w:sz="0" w:space="0" w:color="auto"/>
                        <w:bottom w:val="none" w:sz="0" w:space="0" w:color="auto"/>
                        <w:right w:val="none" w:sz="0" w:space="0" w:color="auto"/>
                      </w:divBdr>
                      <w:divsChild>
                        <w:div w:id="81800157">
                          <w:marLeft w:val="0"/>
                          <w:marRight w:val="0"/>
                          <w:marTop w:val="0"/>
                          <w:marBottom w:val="0"/>
                          <w:divBdr>
                            <w:top w:val="none" w:sz="0" w:space="0" w:color="auto"/>
                            <w:left w:val="none" w:sz="0" w:space="0" w:color="auto"/>
                            <w:bottom w:val="none" w:sz="0" w:space="0" w:color="auto"/>
                            <w:right w:val="none" w:sz="0" w:space="0" w:color="auto"/>
                          </w:divBdr>
                          <w:divsChild>
                            <w:div w:id="1705524488">
                              <w:marLeft w:val="0"/>
                              <w:marRight w:val="0"/>
                              <w:marTop w:val="0"/>
                              <w:marBottom w:val="0"/>
                              <w:divBdr>
                                <w:top w:val="none" w:sz="0" w:space="0" w:color="auto"/>
                                <w:left w:val="none" w:sz="0" w:space="0" w:color="auto"/>
                                <w:bottom w:val="none" w:sz="0" w:space="0" w:color="auto"/>
                                <w:right w:val="none" w:sz="0" w:space="0" w:color="auto"/>
                              </w:divBdr>
                              <w:divsChild>
                                <w:div w:id="360404820">
                                  <w:marLeft w:val="0"/>
                                  <w:marRight w:val="0"/>
                                  <w:marTop w:val="0"/>
                                  <w:marBottom w:val="0"/>
                                  <w:divBdr>
                                    <w:top w:val="none" w:sz="0" w:space="0" w:color="auto"/>
                                    <w:left w:val="none" w:sz="0" w:space="0" w:color="auto"/>
                                    <w:bottom w:val="none" w:sz="0" w:space="0" w:color="auto"/>
                                    <w:right w:val="none" w:sz="0" w:space="0" w:color="auto"/>
                                  </w:divBdr>
                                  <w:divsChild>
                                    <w:div w:id="1327049711">
                                      <w:marLeft w:val="0"/>
                                      <w:marRight w:val="0"/>
                                      <w:marTop w:val="0"/>
                                      <w:marBottom w:val="0"/>
                                      <w:divBdr>
                                        <w:top w:val="none" w:sz="0" w:space="0" w:color="auto"/>
                                        <w:left w:val="none" w:sz="0" w:space="0" w:color="auto"/>
                                        <w:bottom w:val="none" w:sz="0" w:space="0" w:color="auto"/>
                                        <w:right w:val="none" w:sz="0" w:space="0" w:color="auto"/>
                                      </w:divBdr>
                                      <w:divsChild>
                                        <w:div w:id="10492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503254">
          <w:marLeft w:val="0"/>
          <w:marRight w:val="0"/>
          <w:marTop w:val="0"/>
          <w:marBottom w:val="0"/>
          <w:divBdr>
            <w:top w:val="none" w:sz="0" w:space="0" w:color="auto"/>
            <w:left w:val="none" w:sz="0" w:space="0" w:color="auto"/>
            <w:bottom w:val="none" w:sz="0" w:space="0" w:color="auto"/>
            <w:right w:val="none" w:sz="0" w:space="0" w:color="auto"/>
          </w:divBdr>
          <w:divsChild>
            <w:div w:id="531847689">
              <w:marLeft w:val="0"/>
              <w:marRight w:val="0"/>
              <w:marTop w:val="0"/>
              <w:marBottom w:val="0"/>
              <w:divBdr>
                <w:top w:val="none" w:sz="0" w:space="0" w:color="auto"/>
                <w:left w:val="none" w:sz="0" w:space="0" w:color="auto"/>
                <w:bottom w:val="none" w:sz="0" w:space="0" w:color="auto"/>
                <w:right w:val="none" w:sz="0" w:space="0" w:color="auto"/>
              </w:divBdr>
              <w:divsChild>
                <w:div w:id="818352260">
                  <w:marLeft w:val="0"/>
                  <w:marRight w:val="0"/>
                  <w:marTop w:val="0"/>
                  <w:marBottom w:val="0"/>
                  <w:divBdr>
                    <w:top w:val="none" w:sz="0" w:space="0" w:color="auto"/>
                    <w:left w:val="none" w:sz="0" w:space="0" w:color="auto"/>
                    <w:bottom w:val="none" w:sz="0" w:space="0" w:color="auto"/>
                    <w:right w:val="none" w:sz="0" w:space="0" w:color="auto"/>
                  </w:divBdr>
                  <w:divsChild>
                    <w:div w:id="1329675973">
                      <w:marLeft w:val="0"/>
                      <w:marRight w:val="0"/>
                      <w:marTop w:val="0"/>
                      <w:marBottom w:val="0"/>
                      <w:divBdr>
                        <w:top w:val="none" w:sz="0" w:space="0" w:color="auto"/>
                        <w:left w:val="none" w:sz="0" w:space="0" w:color="auto"/>
                        <w:bottom w:val="none" w:sz="0" w:space="0" w:color="auto"/>
                        <w:right w:val="none" w:sz="0" w:space="0" w:color="auto"/>
                      </w:divBdr>
                      <w:divsChild>
                        <w:div w:id="1629165491">
                          <w:marLeft w:val="0"/>
                          <w:marRight w:val="0"/>
                          <w:marTop w:val="0"/>
                          <w:marBottom w:val="0"/>
                          <w:divBdr>
                            <w:top w:val="none" w:sz="0" w:space="0" w:color="auto"/>
                            <w:left w:val="none" w:sz="0" w:space="0" w:color="auto"/>
                            <w:bottom w:val="none" w:sz="0" w:space="0" w:color="auto"/>
                            <w:right w:val="none" w:sz="0" w:space="0" w:color="auto"/>
                          </w:divBdr>
                          <w:divsChild>
                            <w:div w:id="647561292">
                              <w:marLeft w:val="0"/>
                              <w:marRight w:val="0"/>
                              <w:marTop w:val="0"/>
                              <w:marBottom w:val="0"/>
                              <w:divBdr>
                                <w:top w:val="none" w:sz="0" w:space="0" w:color="auto"/>
                                <w:left w:val="none" w:sz="0" w:space="0" w:color="auto"/>
                                <w:bottom w:val="none" w:sz="0" w:space="0" w:color="auto"/>
                                <w:right w:val="none" w:sz="0" w:space="0" w:color="auto"/>
                              </w:divBdr>
                              <w:divsChild>
                                <w:div w:id="855773803">
                                  <w:marLeft w:val="0"/>
                                  <w:marRight w:val="0"/>
                                  <w:marTop w:val="0"/>
                                  <w:marBottom w:val="0"/>
                                  <w:divBdr>
                                    <w:top w:val="none" w:sz="0" w:space="0" w:color="auto"/>
                                    <w:left w:val="none" w:sz="0" w:space="0" w:color="auto"/>
                                    <w:bottom w:val="none" w:sz="0" w:space="0" w:color="auto"/>
                                    <w:right w:val="none" w:sz="0" w:space="0" w:color="auto"/>
                                  </w:divBdr>
                                  <w:divsChild>
                                    <w:div w:id="9108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247249">
      <w:bodyDiv w:val="1"/>
      <w:marLeft w:val="0"/>
      <w:marRight w:val="0"/>
      <w:marTop w:val="0"/>
      <w:marBottom w:val="0"/>
      <w:divBdr>
        <w:top w:val="none" w:sz="0" w:space="0" w:color="auto"/>
        <w:left w:val="none" w:sz="0" w:space="0" w:color="auto"/>
        <w:bottom w:val="none" w:sz="0" w:space="0" w:color="auto"/>
        <w:right w:val="none" w:sz="0" w:space="0" w:color="auto"/>
      </w:divBdr>
      <w:divsChild>
        <w:div w:id="1457337298">
          <w:marLeft w:val="0"/>
          <w:marRight w:val="0"/>
          <w:marTop w:val="0"/>
          <w:marBottom w:val="0"/>
          <w:divBdr>
            <w:top w:val="none" w:sz="0" w:space="0" w:color="auto"/>
            <w:left w:val="none" w:sz="0" w:space="0" w:color="auto"/>
            <w:bottom w:val="none" w:sz="0" w:space="0" w:color="auto"/>
            <w:right w:val="none" w:sz="0" w:space="0" w:color="auto"/>
          </w:divBdr>
          <w:divsChild>
            <w:div w:id="1586567352">
              <w:marLeft w:val="0"/>
              <w:marRight w:val="0"/>
              <w:marTop w:val="0"/>
              <w:marBottom w:val="0"/>
              <w:divBdr>
                <w:top w:val="none" w:sz="0" w:space="0" w:color="auto"/>
                <w:left w:val="none" w:sz="0" w:space="0" w:color="auto"/>
                <w:bottom w:val="none" w:sz="0" w:space="0" w:color="auto"/>
                <w:right w:val="none" w:sz="0" w:space="0" w:color="auto"/>
              </w:divBdr>
              <w:divsChild>
                <w:div w:id="1955016182">
                  <w:marLeft w:val="0"/>
                  <w:marRight w:val="0"/>
                  <w:marTop w:val="0"/>
                  <w:marBottom w:val="0"/>
                  <w:divBdr>
                    <w:top w:val="none" w:sz="0" w:space="0" w:color="auto"/>
                    <w:left w:val="none" w:sz="0" w:space="0" w:color="auto"/>
                    <w:bottom w:val="none" w:sz="0" w:space="0" w:color="auto"/>
                    <w:right w:val="none" w:sz="0" w:space="0" w:color="auto"/>
                  </w:divBdr>
                  <w:divsChild>
                    <w:div w:id="1371564873">
                      <w:marLeft w:val="0"/>
                      <w:marRight w:val="0"/>
                      <w:marTop w:val="0"/>
                      <w:marBottom w:val="0"/>
                      <w:divBdr>
                        <w:top w:val="none" w:sz="0" w:space="0" w:color="auto"/>
                        <w:left w:val="none" w:sz="0" w:space="0" w:color="auto"/>
                        <w:bottom w:val="none" w:sz="0" w:space="0" w:color="auto"/>
                        <w:right w:val="none" w:sz="0" w:space="0" w:color="auto"/>
                      </w:divBdr>
                      <w:divsChild>
                        <w:div w:id="1723363608">
                          <w:marLeft w:val="0"/>
                          <w:marRight w:val="0"/>
                          <w:marTop w:val="0"/>
                          <w:marBottom w:val="0"/>
                          <w:divBdr>
                            <w:top w:val="none" w:sz="0" w:space="0" w:color="auto"/>
                            <w:left w:val="none" w:sz="0" w:space="0" w:color="auto"/>
                            <w:bottom w:val="none" w:sz="0" w:space="0" w:color="auto"/>
                            <w:right w:val="none" w:sz="0" w:space="0" w:color="auto"/>
                          </w:divBdr>
                          <w:divsChild>
                            <w:div w:id="1712220250">
                              <w:marLeft w:val="0"/>
                              <w:marRight w:val="0"/>
                              <w:marTop w:val="0"/>
                              <w:marBottom w:val="0"/>
                              <w:divBdr>
                                <w:top w:val="none" w:sz="0" w:space="0" w:color="auto"/>
                                <w:left w:val="none" w:sz="0" w:space="0" w:color="auto"/>
                                <w:bottom w:val="none" w:sz="0" w:space="0" w:color="auto"/>
                                <w:right w:val="none" w:sz="0" w:space="0" w:color="auto"/>
                              </w:divBdr>
                              <w:divsChild>
                                <w:div w:id="1120297123">
                                  <w:marLeft w:val="0"/>
                                  <w:marRight w:val="0"/>
                                  <w:marTop w:val="0"/>
                                  <w:marBottom w:val="0"/>
                                  <w:divBdr>
                                    <w:top w:val="none" w:sz="0" w:space="0" w:color="auto"/>
                                    <w:left w:val="none" w:sz="0" w:space="0" w:color="auto"/>
                                    <w:bottom w:val="none" w:sz="0" w:space="0" w:color="auto"/>
                                    <w:right w:val="none" w:sz="0" w:space="0" w:color="auto"/>
                                  </w:divBdr>
                                  <w:divsChild>
                                    <w:div w:id="133833619">
                                      <w:marLeft w:val="0"/>
                                      <w:marRight w:val="0"/>
                                      <w:marTop w:val="0"/>
                                      <w:marBottom w:val="0"/>
                                      <w:divBdr>
                                        <w:top w:val="none" w:sz="0" w:space="0" w:color="auto"/>
                                        <w:left w:val="none" w:sz="0" w:space="0" w:color="auto"/>
                                        <w:bottom w:val="none" w:sz="0" w:space="0" w:color="auto"/>
                                        <w:right w:val="none" w:sz="0" w:space="0" w:color="auto"/>
                                      </w:divBdr>
                                      <w:divsChild>
                                        <w:div w:id="12641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448103">
          <w:marLeft w:val="0"/>
          <w:marRight w:val="0"/>
          <w:marTop w:val="0"/>
          <w:marBottom w:val="0"/>
          <w:divBdr>
            <w:top w:val="none" w:sz="0" w:space="0" w:color="auto"/>
            <w:left w:val="none" w:sz="0" w:space="0" w:color="auto"/>
            <w:bottom w:val="none" w:sz="0" w:space="0" w:color="auto"/>
            <w:right w:val="none" w:sz="0" w:space="0" w:color="auto"/>
          </w:divBdr>
          <w:divsChild>
            <w:div w:id="1219898199">
              <w:marLeft w:val="0"/>
              <w:marRight w:val="0"/>
              <w:marTop w:val="0"/>
              <w:marBottom w:val="0"/>
              <w:divBdr>
                <w:top w:val="none" w:sz="0" w:space="0" w:color="auto"/>
                <w:left w:val="none" w:sz="0" w:space="0" w:color="auto"/>
                <w:bottom w:val="none" w:sz="0" w:space="0" w:color="auto"/>
                <w:right w:val="none" w:sz="0" w:space="0" w:color="auto"/>
              </w:divBdr>
              <w:divsChild>
                <w:div w:id="765426418">
                  <w:marLeft w:val="0"/>
                  <w:marRight w:val="0"/>
                  <w:marTop w:val="0"/>
                  <w:marBottom w:val="0"/>
                  <w:divBdr>
                    <w:top w:val="none" w:sz="0" w:space="0" w:color="auto"/>
                    <w:left w:val="none" w:sz="0" w:space="0" w:color="auto"/>
                    <w:bottom w:val="none" w:sz="0" w:space="0" w:color="auto"/>
                    <w:right w:val="none" w:sz="0" w:space="0" w:color="auto"/>
                  </w:divBdr>
                  <w:divsChild>
                    <w:div w:id="1038898206">
                      <w:marLeft w:val="0"/>
                      <w:marRight w:val="0"/>
                      <w:marTop w:val="0"/>
                      <w:marBottom w:val="0"/>
                      <w:divBdr>
                        <w:top w:val="none" w:sz="0" w:space="0" w:color="auto"/>
                        <w:left w:val="none" w:sz="0" w:space="0" w:color="auto"/>
                        <w:bottom w:val="none" w:sz="0" w:space="0" w:color="auto"/>
                        <w:right w:val="none" w:sz="0" w:space="0" w:color="auto"/>
                      </w:divBdr>
                      <w:divsChild>
                        <w:div w:id="870723115">
                          <w:marLeft w:val="0"/>
                          <w:marRight w:val="0"/>
                          <w:marTop w:val="0"/>
                          <w:marBottom w:val="0"/>
                          <w:divBdr>
                            <w:top w:val="none" w:sz="0" w:space="0" w:color="auto"/>
                            <w:left w:val="none" w:sz="0" w:space="0" w:color="auto"/>
                            <w:bottom w:val="none" w:sz="0" w:space="0" w:color="auto"/>
                            <w:right w:val="none" w:sz="0" w:space="0" w:color="auto"/>
                          </w:divBdr>
                          <w:divsChild>
                            <w:div w:id="193226153">
                              <w:marLeft w:val="0"/>
                              <w:marRight w:val="0"/>
                              <w:marTop w:val="0"/>
                              <w:marBottom w:val="0"/>
                              <w:divBdr>
                                <w:top w:val="none" w:sz="0" w:space="0" w:color="auto"/>
                                <w:left w:val="none" w:sz="0" w:space="0" w:color="auto"/>
                                <w:bottom w:val="none" w:sz="0" w:space="0" w:color="auto"/>
                                <w:right w:val="none" w:sz="0" w:space="0" w:color="auto"/>
                              </w:divBdr>
                              <w:divsChild>
                                <w:div w:id="193079109">
                                  <w:marLeft w:val="0"/>
                                  <w:marRight w:val="0"/>
                                  <w:marTop w:val="0"/>
                                  <w:marBottom w:val="0"/>
                                  <w:divBdr>
                                    <w:top w:val="none" w:sz="0" w:space="0" w:color="auto"/>
                                    <w:left w:val="none" w:sz="0" w:space="0" w:color="auto"/>
                                    <w:bottom w:val="none" w:sz="0" w:space="0" w:color="auto"/>
                                    <w:right w:val="none" w:sz="0" w:space="0" w:color="auto"/>
                                  </w:divBdr>
                                  <w:divsChild>
                                    <w:div w:id="5874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585101">
      <w:bodyDiv w:val="1"/>
      <w:marLeft w:val="0"/>
      <w:marRight w:val="0"/>
      <w:marTop w:val="0"/>
      <w:marBottom w:val="0"/>
      <w:divBdr>
        <w:top w:val="none" w:sz="0" w:space="0" w:color="auto"/>
        <w:left w:val="none" w:sz="0" w:space="0" w:color="auto"/>
        <w:bottom w:val="none" w:sz="0" w:space="0" w:color="auto"/>
        <w:right w:val="none" w:sz="0" w:space="0" w:color="auto"/>
      </w:divBdr>
      <w:divsChild>
        <w:div w:id="1281835800">
          <w:marLeft w:val="0"/>
          <w:marRight w:val="0"/>
          <w:marTop w:val="0"/>
          <w:marBottom w:val="0"/>
          <w:divBdr>
            <w:top w:val="none" w:sz="0" w:space="0" w:color="auto"/>
            <w:left w:val="none" w:sz="0" w:space="0" w:color="auto"/>
            <w:bottom w:val="none" w:sz="0" w:space="0" w:color="auto"/>
            <w:right w:val="none" w:sz="0" w:space="0" w:color="auto"/>
          </w:divBdr>
        </w:div>
        <w:div w:id="431631178">
          <w:marLeft w:val="0"/>
          <w:marRight w:val="0"/>
          <w:marTop w:val="0"/>
          <w:marBottom w:val="0"/>
          <w:divBdr>
            <w:top w:val="none" w:sz="0" w:space="0" w:color="auto"/>
            <w:left w:val="none" w:sz="0" w:space="0" w:color="auto"/>
            <w:bottom w:val="none" w:sz="0" w:space="0" w:color="auto"/>
            <w:right w:val="none" w:sz="0" w:space="0" w:color="auto"/>
          </w:divBdr>
        </w:div>
        <w:div w:id="1056660919">
          <w:marLeft w:val="0"/>
          <w:marRight w:val="0"/>
          <w:marTop w:val="0"/>
          <w:marBottom w:val="0"/>
          <w:divBdr>
            <w:top w:val="none" w:sz="0" w:space="0" w:color="auto"/>
            <w:left w:val="none" w:sz="0" w:space="0" w:color="auto"/>
            <w:bottom w:val="none" w:sz="0" w:space="0" w:color="auto"/>
            <w:right w:val="none" w:sz="0" w:space="0" w:color="auto"/>
          </w:divBdr>
        </w:div>
        <w:div w:id="1750688857">
          <w:marLeft w:val="0"/>
          <w:marRight w:val="0"/>
          <w:marTop w:val="0"/>
          <w:marBottom w:val="0"/>
          <w:divBdr>
            <w:top w:val="none" w:sz="0" w:space="0" w:color="auto"/>
            <w:left w:val="none" w:sz="0" w:space="0" w:color="auto"/>
            <w:bottom w:val="none" w:sz="0" w:space="0" w:color="auto"/>
            <w:right w:val="none" w:sz="0" w:space="0" w:color="auto"/>
          </w:divBdr>
        </w:div>
        <w:div w:id="1026561895">
          <w:marLeft w:val="0"/>
          <w:marRight w:val="0"/>
          <w:marTop w:val="0"/>
          <w:marBottom w:val="0"/>
          <w:divBdr>
            <w:top w:val="none" w:sz="0" w:space="0" w:color="auto"/>
            <w:left w:val="none" w:sz="0" w:space="0" w:color="auto"/>
            <w:bottom w:val="none" w:sz="0" w:space="0" w:color="auto"/>
            <w:right w:val="none" w:sz="0" w:space="0" w:color="auto"/>
          </w:divBdr>
        </w:div>
        <w:div w:id="2110542082">
          <w:marLeft w:val="0"/>
          <w:marRight w:val="0"/>
          <w:marTop w:val="0"/>
          <w:marBottom w:val="0"/>
          <w:divBdr>
            <w:top w:val="none" w:sz="0" w:space="0" w:color="auto"/>
            <w:left w:val="none" w:sz="0" w:space="0" w:color="auto"/>
            <w:bottom w:val="none" w:sz="0" w:space="0" w:color="auto"/>
            <w:right w:val="none" w:sz="0" w:space="0" w:color="auto"/>
          </w:divBdr>
        </w:div>
        <w:div w:id="1435711121">
          <w:marLeft w:val="0"/>
          <w:marRight w:val="0"/>
          <w:marTop w:val="0"/>
          <w:marBottom w:val="0"/>
          <w:divBdr>
            <w:top w:val="none" w:sz="0" w:space="0" w:color="auto"/>
            <w:left w:val="none" w:sz="0" w:space="0" w:color="auto"/>
            <w:bottom w:val="none" w:sz="0" w:space="0" w:color="auto"/>
            <w:right w:val="none" w:sz="0" w:space="0" w:color="auto"/>
          </w:divBdr>
        </w:div>
        <w:div w:id="2076776479">
          <w:marLeft w:val="0"/>
          <w:marRight w:val="0"/>
          <w:marTop w:val="0"/>
          <w:marBottom w:val="0"/>
          <w:divBdr>
            <w:top w:val="none" w:sz="0" w:space="0" w:color="auto"/>
            <w:left w:val="none" w:sz="0" w:space="0" w:color="auto"/>
            <w:bottom w:val="none" w:sz="0" w:space="0" w:color="auto"/>
            <w:right w:val="none" w:sz="0" w:space="0" w:color="auto"/>
          </w:divBdr>
        </w:div>
        <w:div w:id="1708097418">
          <w:marLeft w:val="0"/>
          <w:marRight w:val="0"/>
          <w:marTop w:val="0"/>
          <w:marBottom w:val="0"/>
          <w:divBdr>
            <w:top w:val="none" w:sz="0" w:space="0" w:color="auto"/>
            <w:left w:val="none" w:sz="0" w:space="0" w:color="auto"/>
            <w:bottom w:val="none" w:sz="0" w:space="0" w:color="auto"/>
            <w:right w:val="none" w:sz="0" w:space="0" w:color="auto"/>
          </w:divBdr>
        </w:div>
      </w:divsChild>
    </w:div>
    <w:div w:id="1455364664">
      <w:bodyDiv w:val="1"/>
      <w:marLeft w:val="0"/>
      <w:marRight w:val="0"/>
      <w:marTop w:val="0"/>
      <w:marBottom w:val="0"/>
      <w:divBdr>
        <w:top w:val="none" w:sz="0" w:space="0" w:color="auto"/>
        <w:left w:val="none" w:sz="0" w:space="0" w:color="auto"/>
        <w:bottom w:val="none" w:sz="0" w:space="0" w:color="auto"/>
        <w:right w:val="none" w:sz="0" w:space="0" w:color="auto"/>
      </w:divBdr>
      <w:divsChild>
        <w:div w:id="143552916">
          <w:marLeft w:val="0"/>
          <w:marRight w:val="0"/>
          <w:marTop w:val="0"/>
          <w:marBottom w:val="0"/>
          <w:divBdr>
            <w:top w:val="none" w:sz="0" w:space="0" w:color="auto"/>
            <w:left w:val="none" w:sz="0" w:space="0" w:color="auto"/>
            <w:bottom w:val="none" w:sz="0" w:space="0" w:color="auto"/>
            <w:right w:val="none" w:sz="0" w:space="0" w:color="auto"/>
          </w:divBdr>
        </w:div>
        <w:div w:id="1612204930">
          <w:marLeft w:val="0"/>
          <w:marRight w:val="0"/>
          <w:marTop w:val="0"/>
          <w:marBottom w:val="0"/>
          <w:divBdr>
            <w:top w:val="none" w:sz="0" w:space="0" w:color="auto"/>
            <w:left w:val="none" w:sz="0" w:space="0" w:color="auto"/>
            <w:bottom w:val="none" w:sz="0" w:space="0" w:color="auto"/>
            <w:right w:val="none" w:sz="0" w:space="0" w:color="auto"/>
          </w:divBdr>
        </w:div>
        <w:div w:id="1679383779">
          <w:marLeft w:val="0"/>
          <w:marRight w:val="0"/>
          <w:marTop w:val="0"/>
          <w:marBottom w:val="0"/>
          <w:divBdr>
            <w:top w:val="none" w:sz="0" w:space="0" w:color="auto"/>
            <w:left w:val="none" w:sz="0" w:space="0" w:color="auto"/>
            <w:bottom w:val="none" w:sz="0" w:space="0" w:color="auto"/>
            <w:right w:val="none" w:sz="0" w:space="0" w:color="auto"/>
          </w:divBdr>
        </w:div>
        <w:div w:id="327103251">
          <w:marLeft w:val="0"/>
          <w:marRight w:val="0"/>
          <w:marTop w:val="0"/>
          <w:marBottom w:val="0"/>
          <w:divBdr>
            <w:top w:val="none" w:sz="0" w:space="0" w:color="auto"/>
            <w:left w:val="none" w:sz="0" w:space="0" w:color="auto"/>
            <w:bottom w:val="none" w:sz="0" w:space="0" w:color="auto"/>
            <w:right w:val="none" w:sz="0" w:space="0" w:color="auto"/>
          </w:divBdr>
        </w:div>
        <w:div w:id="1702321700">
          <w:marLeft w:val="0"/>
          <w:marRight w:val="0"/>
          <w:marTop w:val="0"/>
          <w:marBottom w:val="0"/>
          <w:divBdr>
            <w:top w:val="none" w:sz="0" w:space="0" w:color="auto"/>
            <w:left w:val="none" w:sz="0" w:space="0" w:color="auto"/>
            <w:bottom w:val="none" w:sz="0" w:space="0" w:color="auto"/>
            <w:right w:val="none" w:sz="0" w:space="0" w:color="auto"/>
          </w:divBdr>
        </w:div>
        <w:div w:id="91970961">
          <w:marLeft w:val="0"/>
          <w:marRight w:val="0"/>
          <w:marTop w:val="0"/>
          <w:marBottom w:val="0"/>
          <w:divBdr>
            <w:top w:val="none" w:sz="0" w:space="0" w:color="auto"/>
            <w:left w:val="none" w:sz="0" w:space="0" w:color="auto"/>
            <w:bottom w:val="none" w:sz="0" w:space="0" w:color="auto"/>
            <w:right w:val="none" w:sz="0" w:space="0" w:color="auto"/>
          </w:divBdr>
        </w:div>
        <w:div w:id="706758035">
          <w:marLeft w:val="0"/>
          <w:marRight w:val="0"/>
          <w:marTop w:val="0"/>
          <w:marBottom w:val="0"/>
          <w:divBdr>
            <w:top w:val="none" w:sz="0" w:space="0" w:color="auto"/>
            <w:left w:val="none" w:sz="0" w:space="0" w:color="auto"/>
            <w:bottom w:val="none" w:sz="0" w:space="0" w:color="auto"/>
            <w:right w:val="none" w:sz="0" w:space="0" w:color="auto"/>
          </w:divBdr>
        </w:div>
        <w:div w:id="1174295534">
          <w:marLeft w:val="0"/>
          <w:marRight w:val="0"/>
          <w:marTop w:val="0"/>
          <w:marBottom w:val="0"/>
          <w:divBdr>
            <w:top w:val="none" w:sz="0" w:space="0" w:color="auto"/>
            <w:left w:val="none" w:sz="0" w:space="0" w:color="auto"/>
            <w:bottom w:val="none" w:sz="0" w:space="0" w:color="auto"/>
            <w:right w:val="none" w:sz="0" w:space="0" w:color="auto"/>
          </w:divBdr>
        </w:div>
        <w:div w:id="2047021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ta.com/learn/private-funds/management/asc-820/?utm_source=chatgpt.com" TargetMode="External"/><Relationship Id="rId13" Type="http://schemas.openxmlformats.org/officeDocument/2006/relationships/hyperlink" Target="https://viewpoint.pwc.com/dt/us/en/pwc/accounting_guides/fair_value_measureme/fair_value_measureme__9_US/chapter_1_introducti__1_US/15_key_concepts_in_a_US.html?utm_source=chatgpt.com" TargetMode="External"/><Relationship Id="rId3" Type="http://schemas.openxmlformats.org/officeDocument/2006/relationships/settings" Target="settings.xml"/><Relationship Id="rId7" Type="http://schemas.openxmlformats.org/officeDocument/2006/relationships/hyperlink" Target="https://kpmg.com/us/en/frv/reference-library/2024/handbook-fair-value-measurement.html?utm_source=chatgpt.com" TargetMode="External"/><Relationship Id="rId12" Type="http://schemas.openxmlformats.org/officeDocument/2006/relationships/hyperlink" Target="https://kpmg.com/us/en/frv/reference-library/2024/handbook-fair-value-measurement.html?utm_source=chatgp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tonvs.com/portfolio-valuation/asc-820-comprehensive-guide/?utm_source=chatgpt.com" TargetMode="External"/><Relationship Id="rId11" Type="http://schemas.openxmlformats.org/officeDocument/2006/relationships/hyperlink" Target="https://viewpoint.pwc.com/dt/us/en/pwc/accounting_guides/fair_value_measureme/fair_value_measureme__9_US/chapter_1_introducti__1_US/15_key_concepts_in_a_US.html?utm_source=chatgpt.com" TargetMode="External"/><Relationship Id="rId5" Type="http://schemas.openxmlformats.org/officeDocument/2006/relationships/hyperlink" Target="https://viewpoint.pwc.com/dt/us/en/pwc/accounting_guides/fair_value_measureme/fair_value_measureme__9_US/chapter_1_introducti__1_US/15_key_concepts_in_a_US.html?utm_source=chatgpt.com" TargetMode="External"/><Relationship Id="rId15" Type="http://schemas.openxmlformats.org/officeDocument/2006/relationships/fontTable" Target="fontTable.xml"/><Relationship Id="rId10" Type="http://schemas.openxmlformats.org/officeDocument/2006/relationships/hyperlink" Target="https://etonvs.com/portfolio-valuation/asc-820-comprehensive-guide/?utm_source=chatgpt.com" TargetMode="External"/><Relationship Id="rId4" Type="http://schemas.openxmlformats.org/officeDocument/2006/relationships/webSettings" Target="webSettings.xml"/><Relationship Id="rId9" Type="http://schemas.openxmlformats.org/officeDocument/2006/relationships/hyperlink" Target="https://kpmg.com/us/en/frv/reference-library/2024/handbook-fair-value-measurement.html?utm_source=chatgpt.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918</Words>
  <Characters>5909</Characters>
  <Application>Microsoft Office Word</Application>
  <DocSecurity>0</DocSecurity>
  <Lines>128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Bonnani-Bott</dc:creator>
  <cp:keywords/>
  <dc:description/>
  <cp:lastModifiedBy>Ryan Bott</cp:lastModifiedBy>
  <cp:revision>8</cp:revision>
  <dcterms:created xsi:type="dcterms:W3CDTF">2025-02-28T13:51:00Z</dcterms:created>
  <dcterms:modified xsi:type="dcterms:W3CDTF">2025-03-02T05:11:00Z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7fa51eb2-cb16-4514-bce8-10f00419ee12</vt:lpwstr>
  </property>
</Properties>
</file>