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Times New Roman" w:hAnsi="Times New Roman"/>
          <w:b/>
          <w:i w:val="0"/>
          <w:sz w:val="28"/>
        </w:rPr>
        <w:t>SISTEMA DE ASSISTÊNCIA TÉCNICA</w:t>
      </w:r>
    </w:p>
    <w:p/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Documento de Apresentação Técnica e Defesa do Projeto</w:t>
      </w:r>
    </w:p>
    <w:p/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Trabalho Avaliativo — M1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Padrões de Projeto e Engenharia de Software</w:t>
      </w:r>
    </w:p>
    <w:p/>
    <w:p/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2026</w:t>
      </w:r>
    </w:p>
    <w:p>
      <w:r>
        <w:br w:type="page"/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SUMÁRIO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/>
          <w:sz w:val="24"/>
        </w:rPr>
        <w:t>1  Introdução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/>
          <w:sz w:val="24"/>
        </w:rPr>
        <w:t>2  Arquitetura Geral do Sistema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2.1  Padrão Front Controller e Command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2.2  Padrão DAO com Injeção de Conexão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2.3  Controle Transacional na Camada Service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2.4  Padrão Builder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2.5  Relacionamentos entre Classes na POO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/>
          <w:sz w:val="24"/>
        </w:rPr>
        <w:t>3  Referência ao Código-Fonte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3.1  FrontControllerServlet — Entrada de Requisições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3.2  ICommand — Interface do Padrão Command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3.3  OrdemServicoService — Controle Transacional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3.4  OrdemServicoDAOJDBC — Padrão DAO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3.5  Pessoa — Superclasse Abstrata e Herança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/>
          <w:sz w:val="24"/>
        </w:rPr>
        <w:t>4  Diagramas UML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4.1  Diagrama de Classes (Domínio)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4.2  Diagrama de Arquitetura e Padrões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4.3  Diagrama de Casos de Uso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4.4  Diagrama de Implantação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4.5  Sequência: Abertura de Ordem de Serviço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4.6  Sequência: Elaboração de Orçamento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4.7  Sequência: Aprovação e Conclusão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4.8  Sequência: Exclusão de Registro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/>
          <w:sz w:val="24"/>
        </w:rPr>
        <w:t>5  Guia de Defesa — Prováveis Perguntas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/>
          <w:sz w:val="24"/>
        </w:rPr>
        <w:t>6  Considerações Finais</w:t>
      </w:r>
    </w:p>
    <w:p>
      <w:r>
        <w:br w:type="page"/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1  INTRODUÇÃO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O presente documento tem por objetivo descrever a arquitetura, os padrões de projeto implementados e as decisões técnicas tomadas no desenvolvimento do Sistema de Assistência Técnica, desenvolvido como trabalho avaliativo da disciplina de Padrões de Projeto e Engenharia de Software.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A aplicação foi desenvolvida em linguagem Java, utilizando Servlets e JSP sem o uso de frameworks MVC externos, de modo a demonstrar domínio sobre os fundamentos de arquitetura web. O banco de dados adotado é o H2 (modo embarcado), e o servidor de aplicação utilizado é o Apache Tomcat.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A seguir, são apresentados os padrões de projeto implementados, com referência direta ao código-fonte (arquivo, linha e descrição), os diagramas UML elaborados no Astah e um guia de defesa com as principais perguntas que podem ser feitas durante a apresentação.</w:t>
      </w:r>
    </w:p>
    <w:p>
      <w:r>
        <w:br w:type="page"/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2  ARQUITETURA GERAL DO SISTEMA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A arquitetura do sistema segue o padrão MVC (Model-View-Controller) adaptado para o contexto de aplicações web Java EE. As requisições HTTP chegam ao FrontControllerServlet, que delega a execução para Commands específicos obtidos da CommandFactory. Cada Command interage com a camada de Service, que por sua vez coordena as operações nos DAOs, sempre dentro de um contexto transacional controlado.</w:t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2.1  Padrão Front Controller e Command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O padrão Front Controller centraliza todo o roteamento da aplicação em um único Servlet (FrontControllerServlet). Ao receber uma requisição, ele extrai o parâmetro ?acao= da URL, consulta a CommandFactory e obtém o Command correto. Isso elimina a necessidade de declarar dezenas de Servlets no arquivo web.xml e garante que toda validação de sessão e filtros de segurança sejam aplicados uniformemente em um único ponto.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O padrão Command (GoF Comportamental) encapsula cada ação de negócio em uma classe independente que implementa a interface ICommand. O sistema possui 28 comandos concretos. Essa separação respeita o Princípio da Responsabilidade Única (SRP — SOLID), pois cada comando trata exclusivamente de uma ação do sistema.</w:t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2.2  Padrão DAO com Injeção de Conexão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O padrão DAO (Data Access Object) isola toda a lógica de acesso ao banco de dados (SQL/JDBC) das regras de negócio. A decisão arquitetural mais importante desta implementação é que os DAOs não gerenciam conexões: eles recebem o objeto Connection como parâmetro em todos os seus métodos. Isso é denominado Injeção de Recurso e é fundamental para o controle transacional.</w:t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2.3  Controle Transacional na Camada Service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A camada de Service é a responsável por coordenar as transações de banco de dados. Utilizando a classe TransactionManager, o Service abre uma única conexão, a injeta em todos os DAOs envolvidos na operação e realiza o commit apenas quando todas as etapas são concluídas com sucesso. Em caso de qualquer exceção, o TransactionManager realiza o rollback automaticamente, garantindo a integridade dos dados (Propriedade ACID).</w:t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2.4  Padrão Builder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Para a criação de objetos complexos com muitos atributos (como OrdemServico e Orcamento), o sistema adota o padrão Builder (GoF Criacional). Ele substitui construtores com muitos parâmetros por uma API fluente e legível, prevenindo erros de inversão de parâmetros e tornando o código de instanciação mais expressivo e seguro.</w:t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2.5  Relacionamentos entre Classes na Programação Orientada a Objetos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O sistema atende integralmente aos 6 conceitos fundamentais de relacionamento entre classes na POO, conforme a teoria clássica e o material instrucional de Engenharia de Software: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1. Dependência (Uso Temporário): Uma classe depende de outra quando a recebe como parâmetro de método ou instancia localmente de forma transitória. Exemplo: OrcamentoAprovarCommand depende de OrcamentoService e OrdemServicoService.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2. Associação 1:1 (Um para Um): Relacionamento estrutural direto e exclusivo. Exemplo: OrdemServico associa-se exclusivamente a uma FichaTecnica (chave estrangeira ordem_servico_id UNIQUE).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3. Associação 1:N (Um para Muitos): Relacionamento estrutural em que um objeto possui referência a múltiplos elementos. Exemplo: Cliente possui 0..* Equipamentos; Equipamento possui 0..* Orcamentos.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4. Agregação e Composição (Todo-Parte): Vínculos de ciclo de vida onde partes integram um todo. A relação entre Ordem de Serviço e Ficha Técnica opera como composição conceitual no ciclo de vida do atendimento (criadas e removidas em conjunto pelo Service).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5. Herança / Generalização (Superclasse Abstrata): Reutilização e polimorfismo estrutural. A superclasse abstrata Pessoa encapsula os atributos id, nome e email, sendo estendida pelas subclasses concretas Cliente e Usuario (eliminando duplicação de código — Princípio DRY).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6. Implementação / Realização (Interface-Classe): Uma classe concreta assume o contrato estipulado por uma interface. Exemplo: ClienteDAOJDBC implementa ClienteDAO, e os 28 commands implementam ICommand.</w:t>
      </w:r>
    </w:p>
    <w:p>
      <w:r>
        <w:br w:type="page"/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3  REFERÊNCIA AO CÓDIGO-FONTE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Esta seção mapeia os principais padrões de projeto diretamente aos arquivos e linhas do código-fonte, permitindo a verificação imediata durante a apresentação do trabalho.</w:t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3.1  FrontControllerServlet — Entrada de Requisições</w:t>
      </w:r>
    </w:p>
    <w:p>
      <w:pPr>
        <w:spacing w:before="240" w:after="40"/>
        <w:jc w:val="left"/>
      </w:pPr>
      <w:r>
        <w:rPr>
          <w:rFonts w:ascii="Courier New" w:hAnsi="Courier New"/>
          <w:b/>
          <w:color w:val="00008B"/>
          <w:sz w:val="18"/>
        </w:rPr>
        <w:t>Arquivo: src/main/java/com/assistencia/controller/FrontControllerServlet.java  |  Linhas: Método processRequest()</w:t>
      </w:r>
    </w:p>
    <w:p>
      <w:pPr>
        <w:spacing w:before="0" w:after="80"/>
        <w:ind w:left="567"/>
      </w:pPr>
      <w:r>
        <w:rPr>
          <w:rFonts w:ascii="Times New Roman" w:hAnsi="Times New Roman"/>
          <w:i/>
          <w:color w:val="3C3C3C"/>
          <w:sz w:val="20"/>
        </w:rPr>
        <w:t>Ponto único de entrada de todas as requisições HTTP. Extrai o parâmetro ?acao= da URL, delega para a CommandFactory e invoca o execute() do Command correto. Aplica os filtros de segurança (CSRF, autenticação) antes de qualquer regra de negócio.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Como citar durante a defesa: 'Professor, aqui está o único Servlet do sistema. Ele não contém nenhuma regra de negócio — apenas roteia a requisição para o Command responsável, respeitando o padrão Front Controller.'</w:t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3.2  ICommand — Interface do Padrão Command</w:t>
      </w:r>
    </w:p>
    <w:p>
      <w:pPr>
        <w:spacing w:before="240" w:after="40"/>
        <w:jc w:val="left"/>
      </w:pPr>
      <w:r>
        <w:rPr>
          <w:rFonts w:ascii="Courier New" w:hAnsi="Courier New"/>
          <w:b/>
          <w:color w:val="00008B"/>
          <w:sz w:val="18"/>
        </w:rPr>
        <w:t>Arquivo: src/main/java/com/assistencia/command/ICommand.java  |  Linhas: Linhas 10–15</w:t>
      </w:r>
    </w:p>
    <w:p>
      <w:pPr>
        <w:spacing w:before="0" w:after="80"/>
        <w:ind w:left="567"/>
      </w:pPr>
      <w:r>
        <w:rPr>
          <w:rFonts w:ascii="Times New Roman" w:hAnsi="Times New Roman"/>
          <w:i/>
          <w:color w:val="3C3C3C"/>
          <w:sz w:val="20"/>
        </w:rPr>
        <w:t>Interface que define o contrato de todos os 28 comandos do sistema. O único método exigido é execute(HttpServletRequest, HttpServletResponse), que retorna o destino da resposta (redirect ou forward).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Como citar durante a defesa: 'Todos os 28 commands implementam esta interface. Isso permite que o FrontController trate qualquer command de forma polimórfica, sem precisar conhecer a implementação específica de cada ação.'</w:t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3.3  OrdemServicoService — Controle Transacional</w:t>
      </w:r>
    </w:p>
    <w:p>
      <w:pPr>
        <w:spacing w:before="240" w:after="40"/>
        <w:jc w:val="left"/>
      </w:pPr>
      <w:r>
        <w:rPr>
          <w:rFonts w:ascii="Courier New" w:hAnsi="Courier New"/>
          <w:b/>
          <w:color w:val="00008B"/>
          <w:sz w:val="18"/>
        </w:rPr>
        <w:t>Arquivo: src/main/java/com/assistencia/service/OrdemServicoService.java  |  Linhas: Linhas 55–79 (método atualizar), Linhas 64–75 (padrão Builder)</w:t>
      </w:r>
    </w:p>
    <w:p>
      <w:pPr>
        <w:spacing w:before="0" w:after="80"/>
        <w:ind w:left="567"/>
      </w:pPr>
      <w:r>
        <w:rPr>
          <w:rFonts w:ascii="Times New Roman" w:hAnsi="Times New Roman"/>
          <w:i/>
          <w:color w:val="3C3C3C"/>
          <w:sz w:val="20"/>
        </w:rPr>
        <w:t>Demonstra o uso do TransactionManager.executeInTransaction() para garantir atomicidade. A Connection é gerada aqui e injetada nos DAOs. O padrão Builder (OrdemServicoBuilder) é usado para construir o objeto de forma segura antes de persistir.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Como citar durante a defesa: 'Professor, veja na linha 55: a transação abre aqui no Service. O DAO recebe a conexão pronta — ele jamais chama DriverManager.getConnection(). Se qualquer DAO lançar uma exceção, o rollback é automático.'</w:t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3.4  OrdemServicoDAOJDBC — Padrão DAO</w:t>
      </w:r>
    </w:p>
    <w:p>
      <w:pPr>
        <w:spacing w:before="240" w:after="40"/>
        <w:jc w:val="left"/>
      </w:pPr>
      <w:r>
        <w:rPr>
          <w:rFonts w:ascii="Courier New" w:hAnsi="Courier New"/>
          <w:b/>
          <w:color w:val="00008B"/>
          <w:sz w:val="18"/>
        </w:rPr>
        <w:t>Arquivo: src/main/java/com/assistencia/dao/jdbc/OrdemServicoDAOJDBC.java  |  Linhas: Linhas 24–46 (inserir), Linhas 49–63 (atualizar), Linhas 66–72 (excluir)</w:t>
      </w:r>
    </w:p>
    <w:p>
      <w:pPr>
        <w:spacing w:before="0" w:after="80"/>
        <w:ind w:left="567"/>
      </w:pPr>
      <w:r>
        <w:rPr>
          <w:rFonts w:ascii="Times New Roman" w:hAnsi="Times New Roman"/>
          <w:i/>
          <w:color w:val="3C3C3C"/>
          <w:sz w:val="20"/>
        </w:rPr>
        <w:t>Implementação JDBC do DAO. Todos os métodos recebem Connection como primeiro parâmetro. Utiliza PreparedStatement para prevenir SQL Injection e RETURN_GENERATED_KEYS para recuperar o ID gerado pelo banco após inserção.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Como citar durante a defesa: 'Observe os parâmetros: inserir(Connection conn, OrdemServico os). A injeção da Connection aqui é a prova de que o padrão DAO está implementado corretamente, pois permite que o Service controle o ciclo de vida da transação integralmente.'</w:t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3.5  Pessoa — Superclasse Abstrata e Herança</w:t>
      </w:r>
    </w:p>
    <w:p>
      <w:pPr>
        <w:spacing w:before="240" w:after="40"/>
        <w:jc w:val="left"/>
      </w:pPr>
      <w:r>
        <w:rPr>
          <w:rFonts w:ascii="Courier New" w:hAnsi="Courier New"/>
          <w:b/>
          <w:color w:val="00008B"/>
          <w:sz w:val="18"/>
        </w:rPr>
        <w:t>Arquivo: src/main/java/com/assistencia/model/Pessoa.java  |  Linhas: Declaração: public abstract class Pessoa</w:t>
      </w:r>
    </w:p>
    <w:p>
      <w:pPr>
        <w:spacing w:before="0" w:after="80"/>
        <w:ind w:left="567"/>
      </w:pPr>
      <w:r>
        <w:rPr>
          <w:rFonts w:ascii="Times New Roman" w:hAnsi="Times New Roman"/>
          <w:i/>
          <w:color w:val="3C3C3C"/>
          <w:sz w:val="20"/>
        </w:rPr>
        <w:t>Superclasse abstrata que encapsula os atributos id, nome e email comuns a qualquer pessoa do sistema. As classes Cliente e Usuario estendem Pessoa (extends Pessoa), aproveitando os atributos herdados e adicionando apenas seus atributos especializados (ex: CPF/telefone para Cliente, senha/cargo para Usuario).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Como citar durante a defesa: 'Professor, a classe abstrata Pessoa demonstra o princípio de Herança e Generalização/Especialização em POO. Cliente e Usuario herdam id, nome e email, eliminando duplicação e facilitando a extensão do modelo.'</w:t>
      </w:r>
    </w:p>
    <w:p>
      <w:r>
        <w:br w:type="page"/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4  DIAGRAMAS UML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Os diagramas a seguir foram elaborados no software Astah Professional, seguindo a especificação UML 2.5.1 da OMG (Object Management Group). Cada diagrama é acompanhado de sua respectiva descrição técnica.</w:t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4.1  Diagrama de Classes (Domínio)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60351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 de Classes - Domin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35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60"/>
        <w:jc w:val="center"/>
      </w:pPr>
      <w:r>
        <w:rPr>
          <w:rFonts w:ascii="Times New Roman" w:hAnsi="Times New Roman"/>
          <w:i/>
          <w:sz w:val="20"/>
        </w:rPr>
        <w:t>Figura 1 – Diagrama de Classes: Domínio do Sistema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Este diagrama apresenta a modelagem estrutural do domínio. Ilustra as entidades principais (Cliente, Equipamento, Orçamento, Ordem de Serviço e Ficha Técnica) com seus atributos tipados, visibilidade e operações. Os relacionamentos mostram a Associação com cardinalidades (1 para 1..*, 1 para 0..1) e Composição entre Ordem de Serviço e Ficha Técnica. Os Enums (StatusOrcamento, Prioridade, EstadoConservacao) são representados conforme UML §12.3.3.</w:t>
      </w:r>
    </w:p>
    <w:p/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4.2  Diagrama de Arquitetura e Padrões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60409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 de Arquitetura e Padrõ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40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60"/>
        <w:jc w:val="center"/>
      </w:pPr>
      <w:r>
        <w:rPr>
          <w:rFonts w:ascii="Times New Roman" w:hAnsi="Times New Roman"/>
          <w:i/>
          <w:sz w:val="20"/>
        </w:rPr>
        <w:t>Figura 2 – Diagrama de Arquitetura e Padrões de Projeto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Este diagrama demonstra a arquitetura do sistema e os padrões implementados. O FrontControllerServlet é o único ponto de entrada (Front Controller). A CommandFactory instancia Commands (Factory Pattern). Os Commands implementam ICommand (Command Pattern). Os DAOs isolam o acesso ao banco (DAO Pattern).</w:t>
      </w:r>
    </w:p>
    <w:p/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4.3  Diagrama de Casos de Uso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163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 de Casos de U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6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60"/>
        <w:jc w:val="center"/>
      </w:pPr>
      <w:r>
        <w:rPr>
          <w:rFonts w:ascii="Times New Roman" w:hAnsi="Times New Roman"/>
          <w:i/>
          <w:sz w:val="20"/>
        </w:rPr>
        <w:t>Figura 3 – Diagrama de Casos de Uso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Mapeia os atores do sistema (Atendente e Técnico) às funcionalidades que podem executar. O Atendente abre Ordens de Serviço e registra aprovação/rejeição de orçamentos. O Técnico elabora orçamentos e finaliza o serviço técnico.</w:t>
      </w:r>
    </w:p>
    <w:p/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4.4  Diagrama de Implantação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88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 de Implant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8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60"/>
        <w:jc w:val="center"/>
      </w:pPr>
      <w:r>
        <w:rPr>
          <w:rFonts w:ascii="Times New Roman" w:hAnsi="Times New Roman"/>
          <w:i/>
          <w:sz w:val="20"/>
        </w:rPr>
        <w:t>Figura 4 – Diagrama de Implantação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Mostra a topologia física de implantação: o Navegador do Cliente se comunica via HTTP com o Servidor Apache Tomcat (onde o WAR da aplicação está implantado), que por sua vez acessa o Banco de Dados H2 via JDBC.</w:t>
      </w:r>
    </w:p>
    <w:p/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4.5  Sequência: Abertura de Ordem de Serviço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17405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01 - Abertura de 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60"/>
        <w:jc w:val="center"/>
      </w:pPr>
      <w:r>
        <w:rPr>
          <w:rFonts w:ascii="Times New Roman" w:hAnsi="Times New Roman"/>
          <w:i/>
          <w:sz w:val="20"/>
        </w:rPr>
        <w:t>Figura 5 – Diagrama de Sequência: Abertura de Ordem de Serviço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Ilustra o processo de abertura de uma OS. O Atendente informa o defeito pela Tela (Boundary), o Controller valida o Equipamento no EquipamentoDAO e, por fim, persiste a nova Ordem de Serviço via OrdemServicoDAO, retornando o número do protocolo ao Atendente.</w:t>
      </w:r>
    </w:p>
    <w:p/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4.6  Sequência: Elaboração de Orçamento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877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02 - Elaboracao de Orcamen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7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60"/>
        <w:jc w:val="center"/>
      </w:pPr>
      <w:r>
        <w:rPr>
          <w:rFonts w:ascii="Times New Roman" w:hAnsi="Times New Roman"/>
          <w:i/>
          <w:sz w:val="20"/>
        </w:rPr>
        <w:t>Figura 6 – Diagrama de Sequência: Elaboração de Orçamento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O Técnico preenche os custos de peças e mão de obra. O Controller carrega a OS, instancia o Orçamento via Builder e persiste via OrcamentoDAO. O diagrama comprova a separação de responsabilidades entre camadas.</w:t>
      </w:r>
    </w:p>
    <w:p/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4.7  Sequência: Aprovação e Conclusão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234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03 - Aprovacao e Conclus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3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60"/>
        <w:jc w:val="center"/>
      </w:pPr>
      <w:r>
        <w:rPr>
          <w:rFonts w:ascii="Times New Roman" w:hAnsi="Times New Roman"/>
          <w:i/>
          <w:sz w:val="20"/>
        </w:rPr>
        <w:t>Figura 7 – Diagrama de Sequência: Aprovação e Conclusão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Demonstra o fluxo de aprovação do orçamento pelo Atendente: o Controller atualiza o status do Orçamento e da Ordem de Serviço atomicamente. Ao final, o Técnico conclui o serviço, e o sistema registra a data de conclusão.</w:t>
      </w:r>
    </w:p>
    <w:p/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4.8  Sequência: Exclusão de Registro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17359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04 - Exclusao de 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5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60"/>
        <w:jc w:val="center"/>
      </w:pPr>
      <w:r>
        <w:rPr>
          <w:rFonts w:ascii="Times New Roman" w:hAnsi="Times New Roman"/>
          <w:i/>
          <w:sz w:val="20"/>
        </w:rPr>
        <w:t>Figura 8 – Diagrama de Sequência: Exclusão de OS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O Controller exclui as dependências filhas primeiro (Ficha Técnica via FichaTecnicaDAO), depois exclui a Ordem de Serviço (OrdemServicoDAO) e reverte o status do Orçamento para disponível (OrcamentoDAO). A ordem de operações garante a integridade referencial do banco.</w:t>
      </w:r>
    </w:p>
    <w:p/>
    <w:p>
      <w:r>
        <w:br w:type="page"/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5  GUIA DE DEFESA — PROVÁVEIS PERGUNTAS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Esta seção lista as principais perguntas que podem ser feitas durante a apresentação e as respostas técnicas recomendadas.</w:t>
      </w:r>
    </w:p>
    <w:p>
      <w:pPr>
        <w:spacing w:before="240" w:after="80"/>
        <w:jc w:val="both"/>
      </w:pPr>
      <w:r>
        <w:rPr>
          <w:rFonts w:ascii="Times New Roman" w:hAnsi="Times New Roman"/>
          <w:b/>
          <w:i w:val="0"/>
          <w:sz w:val="24"/>
        </w:rPr>
        <w:t xml:space="preserve">Pergunta 1: </w:t>
      </w:r>
      <w:r>
        <w:rPr>
          <w:rFonts w:ascii="Times New Roman" w:hAnsi="Times New Roman"/>
          <w:b w:val="0"/>
          <w:i/>
          <w:sz w:val="24"/>
        </w:rPr>
        <w:t>Por que usar Front Controller e Command em vez de um Servlet para cada página?</w:t>
      </w:r>
    </w:p>
    <w:p>
      <w:pPr>
        <w:spacing w:before="0" w:after="120" w:line="360" w:lineRule="auto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Resposta: </w:t>
      </w:r>
      <w:r>
        <w:rPr>
          <w:rFonts w:ascii="Times New Roman" w:hAnsi="Times New Roman"/>
          <w:b w:val="0"/>
          <w:i w:val="0"/>
          <w:sz w:val="24"/>
        </w:rPr>
        <w:t>O Front Controller centraliza o tráfego HTTP em um único ponto, aplicando filtros de segurança (autenticação, CSRF) de forma uniforme. O padrão Command separa cada ação em uma classe independente, respeitando o Princípio da Responsabilidade Única (SRP/SOLID). Um Servlet por página resultaria em código duplicado e dificultaria a manutenção.</w:t>
      </w:r>
    </w:p>
    <w:p>
      <w:pPr>
        <w:spacing w:before="240" w:after="80"/>
        <w:jc w:val="both"/>
      </w:pPr>
      <w:r>
        <w:rPr>
          <w:rFonts w:ascii="Times New Roman" w:hAnsi="Times New Roman"/>
          <w:b/>
          <w:i w:val="0"/>
          <w:sz w:val="24"/>
        </w:rPr>
        <w:t xml:space="preserve">Pergunta 2: </w:t>
      </w:r>
      <w:r>
        <w:rPr>
          <w:rFonts w:ascii="Times New Roman" w:hAnsi="Times New Roman"/>
          <w:b w:val="0"/>
          <w:i/>
          <w:sz w:val="24"/>
        </w:rPr>
        <w:t>Por que os métodos do DAO recebem Connection por parâmetro?</w:t>
      </w:r>
    </w:p>
    <w:p>
      <w:pPr>
        <w:spacing w:before="0" w:after="120" w:line="360" w:lineRule="auto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Resposta: </w:t>
      </w:r>
      <w:r>
        <w:rPr>
          <w:rFonts w:ascii="Times New Roman" w:hAnsi="Times New Roman"/>
          <w:b w:val="0"/>
          <w:i w:val="0"/>
          <w:sz w:val="24"/>
        </w:rPr>
        <w:t>Para que o Service possa controlar a transação inteiramente. Ao injetar a mesma Connection em múltiplos DAOs, todas as operações ocorrem na mesma transação. O commit só acontece quando todas as operações finalizam com sucesso. Em caso de falha, o rollback automático garante que nenhuma operação parcial seja persistida (Propriedade ACID).</w:t>
      </w:r>
    </w:p>
    <w:p>
      <w:pPr>
        <w:spacing w:before="240" w:after="80"/>
        <w:jc w:val="both"/>
      </w:pPr>
      <w:r>
        <w:rPr>
          <w:rFonts w:ascii="Times New Roman" w:hAnsi="Times New Roman"/>
          <w:b/>
          <w:i w:val="0"/>
          <w:sz w:val="24"/>
        </w:rPr>
        <w:t xml:space="preserve">Pergunta 3: </w:t>
      </w:r>
      <w:r>
        <w:rPr>
          <w:rFonts w:ascii="Times New Roman" w:hAnsi="Times New Roman"/>
          <w:b w:val="0"/>
          <w:i/>
          <w:sz w:val="24"/>
        </w:rPr>
        <w:t>O que acontece se eu excluir uma OS que possui Ficha Técnica vinculada no banco?</w:t>
      </w:r>
    </w:p>
    <w:p>
      <w:pPr>
        <w:spacing w:before="0" w:after="120" w:line="360" w:lineRule="auto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Resposta: </w:t>
      </w:r>
      <w:r>
        <w:rPr>
          <w:rFonts w:ascii="Times New Roman" w:hAnsi="Times New Roman"/>
          <w:b w:val="0"/>
          <w:i w:val="0"/>
          <w:sz w:val="24"/>
        </w:rPr>
        <w:t>O banco relacional lançaria um erro de violação de chave estrangeira (Constraint Violation). Por isso, o fluxo de exclusão (modelado no Diagrama SD04 e implementado no Service) exclui primeiro a Ficha Técnica dependente e só então exclui a Ordem de Serviço pai, respeitando a integridade referencial.</w:t>
      </w:r>
    </w:p>
    <w:p>
      <w:pPr>
        <w:spacing w:before="240" w:after="80"/>
        <w:jc w:val="both"/>
      </w:pPr>
      <w:r>
        <w:rPr>
          <w:rFonts w:ascii="Times New Roman" w:hAnsi="Times New Roman"/>
          <w:b/>
          <w:i w:val="0"/>
          <w:sz w:val="24"/>
        </w:rPr>
        <w:t xml:space="preserve">Pergunta 4: </w:t>
      </w:r>
      <w:r>
        <w:rPr>
          <w:rFonts w:ascii="Times New Roman" w:hAnsi="Times New Roman"/>
          <w:b w:val="0"/>
          <w:i/>
          <w:sz w:val="24"/>
        </w:rPr>
        <w:t>Como o sistema foi testado? Onde estão os testes?</w:t>
      </w:r>
    </w:p>
    <w:p>
      <w:pPr>
        <w:spacing w:before="0" w:after="120" w:line="360" w:lineRule="auto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Resposta: </w:t>
      </w:r>
      <w:r>
        <w:rPr>
          <w:rFonts w:ascii="Times New Roman" w:hAnsi="Times New Roman"/>
          <w:b w:val="0"/>
          <w:i w:val="0"/>
          <w:sz w:val="24"/>
        </w:rPr>
        <w:t>O projeto possui testes de integração JUnit 5, executados via Maven (mvn clean test). Os testes usam um banco H2 em memória para validar o fluxo completo desde o Command até o DAO, sem dependência de ambiente externo. Todos os 20 testes passam com sucesso.</w:t>
      </w:r>
    </w:p>
    <w:p>
      <w:pPr>
        <w:spacing w:before="240" w:after="80"/>
        <w:jc w:val="both"/>
      </w:pPr>
      <w:r>
        <w:rPr>
          <w:rFonts w:ascii="Times New Roman" w:hAnsi="Times New Roman"/>
          <w:b/>
          <w:i w:val="0"/>
          <w:sz w:val="24"/>
        </w:rPr>
        <w:t xml:space="preserve">Pergunta 5: </w:t>
      </w:r>
      <w:r>
        <w:rPr>
          <w:rFonts w:ascii="Times New Roman" w:hAnsi="Times New Roman"/>
          <w:b w:val="0"/>
          <w:i/>
          <w:sz w:val="24"/>
        </w:rPr>
        <w:t>O que são as cardinalidades (1, 0..*) no Diagrama de Classes?</w:t>
      </w:r>
    </w:p>
    <w:p>
      <w:pPr>
        <w:spacing w:before="0" w:after="120" w:line="360" w:lineRule="auto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Resposta: </w:t>
      </w:r>
      <w:r>
        <w:rPr>
          <w:rFonts w:ascii="Times New Roman" w:hAnsi="Times New Roman"/>
          <w:b w:val="0"/>
          <w:i w:val="0"/>
          <w:sz w:val="24"/>
        </w:rPr>
        <w:t>São as multiplicidades UML que representam as regras de negócio estruturais do domínio. Por exemplo: 1 Cliente possui 0..* Equipamentos (um cliente pode ter nenhum ou vários), mas um Equipamento pertence a exatamente 1 Cliente. Elas orientaram a modelagem das chaves estrangeiras e constraints do banco de dados.</w:t>
      </w:r>
    </w:p>
    <w:p>
      <w:pPr>
        <w:spacing w:before="240" w:after="80"/>
        <w:jc w:val="both"/>
      </w:pPr>
      <w:r>
        <w:rPr>
          <w:rFonts w:ascii="Times New Roman" w:hAnsi="Times New Roman"/>
          <w:b/>
          <w:i w:val="0"/>
          <w:sz w:val="24"/>
        </w:rPr>
        <w:t xml:space="preserve">Pergunta 6: </w:t>
      </w:r>
      <w:r>
        <w:rPr>
          <w:rFonts w:ascii="Times New Roman" w:hAnsi="Times New Roman"/>
          <w:b w:val="0"/>
          <w:i/>
          <w:sz w:val="24"/>
        </w:rPr>
        <w:t>Por que usar Builder para criar OrdemServico e Orcamento?</w:t>
      </w:r>
    </w:p>
    <w:p>
      <w:pPr>
        <w:spacing w:before="0" w:after="120" w:line="360" w:lineRule="auto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Resposta: </w:t>
      </w:r>
      <w:r>
        <w:rPr>
          <w:rFonts w:ascii="Times New Roman" w:hAnsi="Times New Roman"/>
          <w:b w:val="0"/>
          <w:i w:val="0"/>
          <w:sz w:val="24"/>
        </w:rPr>
        <w:t>Essas entidades possuem muitos atributos opcionais. Sem o Builder, o construtor teria uma lista enorme de parâmetros, tornando o código propenso a erros (ex: trocar a ordem de dois parâmetros String). O Builder oferece uma API fluente e autoexplicativa, além de centralizar as validações antes de criar o objeto.</w:t>
      </w:r>
    </w:p>
    <w:p>
      <w:pPr>
        <w:spacing w:before="240" w:after="80"/>
        <w:jc w:val="both"/>
      </w:pPr>
      <w:r>
        <w:rPr>
          <w:rFonts w:ascii="Times New Roman" w:hAnsi="Times New Roman"/>
          <w:b/>
          <w:i w:val="0"/>
          <w:sz w:val="24"/>
        </w:rPr>
        <w:t xml:space="preserve">Pergunta 7: </w:t>
      </w:r>
      <w:r>
        <w:rPr>
          <w:rFonts w:ascii="Times New Roman" w:hAnsi="Times New Roman"/>
          <w:b w:val="0"/>
          <w:i/>
          <w:sz w:val="24"/>
        </w:rPr>
        <w:t>Como a Herança e os 6 tipos de relacionamentos de POO estão implementados no código?</w:t>
      </w:r>
    </w:p>
    <w:p>
      <w:pPr>
        <w:spacing w:before="0" w:after="120" w:line="360" w:lineRule="auto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Resposta: </w:t>
      </w:r>
      <w:r>
        <w:rPr>
          <w:rFonts w:ascii="Times New Roman" w:hAnsi="Times New Roman"/>
          <w:b w:val="0"/>
          <w:i w:val="0"/>
          <w:sz w:val="24"/>
        </w:rPr>
        <w:t>O sistema contempla todos os 6 relacionamentos: (1) Dependência (Commands chamando Services); (2) Associação 1:1 (OrdemServico e FichaTecnica); (3) Associação 1:N (Cliente para Equipamentos, Equipamento para Orcamentos); (4) Composição/Agregação (ciclo de vida de OS e Ficha Técnica); (5) Herança/Generalização (superclasse abstrata Pessoa estendida por Cliente e Usuario); e (6) Implementação (ClienteDAOJDBC implementa ClienteDAO e Commands implementam ICommand).</w:t>
      </w:r>
    </w:p>
    <w:p>
      <w:r>
        <w:br w:type="page"/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6  CONSIDERAÇÕES FINAIS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O sistema de Assistência Técnica foi desenvolvido com rigor técnico e respeito aos princípios de Engenharia de Software. A combinação dos padrões Front Controller, Command, Factory, DAO e Builder resultou em uma arquitetura coesa, de baixo acoplamento e alta coesão, facilmente extensível para novos requisitos.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A validação via ferramenta de análise estática (PMD) confirmou a ausência de Code Smells e más práticas. A cobertura de testes de integração garante que a refatoração arquitetural não comprometeu o comportamento funcional do sistema.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Os diagramas UML, elaborados no Astah Professional segundo a especificação oficial UML 2.5.1 da OMG, refletem fielmente a implementação do código-fonte, comprovando a consistência entre modelagem e desenvolvimento.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