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Initial treatment success, all diagnoses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0"/>
        <w:gridCol w:w="1816"/>
        <w:gridCol w:w="1816"/>
        <w:gridCol w:w="1816"/>
        <w:gridCol w:w="1816"/>
      </w:tblGrid>
      <w:tr>
        <w:trPr>
          <w:trHeight w:val="559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RN</w:t>
            </w:r>
          </w:p>
        </w:tc>
      </w:tr>
      <w:tr>
        <w:trPr>
          <w:trHeight w:val="559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 SOC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70.4% [57.8-78.7%]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24.8% [12.8-34.4%]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70.4% [57.8-78.7%]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24.8% [12.8-34.4%]</w:t>
            </w:r>
          </w:p>
        </w:tc>
      </w:tr>
      <w:tr>
        <w:trPr>
          <w:trHeight w:val="559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RR SOC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55.0% [41.3-67.0%]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43.8% [30.4-60.2%]</w:t>
            </w:r>
          </w:p>
        </w:tc>
      </w:tr>
      <w:tr>
        <w:trPr>
          <w:trHeight w:val="559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Pan-TB TRP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76.0% [68.5-81.9%]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76.0% [68.5-81.9%]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 [44.6-75.0%]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60.7% [44.6-75.0%]</w:t>
            </w:r>
          </w:p>
        </w:tc>
      </w:tr>
      <w:tr>
        <w:trPr>
          <w:trHeight w:val="559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43.2% [31.1-53.2%]</w:t>
            </w:r>
          </w:p>
        </w:tc>
      </w:tr>
    </w:tbl>
    <w:p>
      <w:pPr>
        <w:pStyle w:val="Normal"/>
      </w:pPr>
      <w:r>
        <w:t xml:space="preserve">Columns indicate resistance phenotypes (R = rif resistance; N = novel/BDQ resistance), rows indicate regimens. “NA” means nobody of a given resistance phenotype was assigned to a given regimen in our model.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2024-06-27T15:55:53Z</dcterms:modified>
  <cp:category/>
</cp:coreProperties>
</file>