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</w:tblPr>
      <w:tblGrid>
        <w:gridCol w:w="5300"/>
        <w:gridCol w:w="3700"/>
      </w:tblGrid>
      <w:tr>
        <w:tc>
          <w:tcPr>
            <w:tcW w:type="dxa" w:w="5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015999" cy="41177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ec-web-header-verde-rasterizad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117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76" w:lineRule="auto"/>
            </w:pPr>
            <w:r>
              <w:rPr>
                <w:rFonts w:ascii="Aptos" w:hAnsi="Aptos"/>
                <w:color w:val="606963"/>
                <w:sz w:val="17"/>
              </w:rPr>
              <w:t>Psicología General Sanitaria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right"/>
            </w:pPr>
            <w:r>
              <w:rPr>
                <w:rFonts w:ascii="Aptos" w:hAnsi="Aptos"/>
                <w:b/>
                <w:color w:val="606963"/>
                <w:sz w:val="17"/>
              </w:rPr>
              <w:t xml:space="preserve">Documento: </w:t>
            </w:r>
            <w:r>
              <w:rPr>
                <w:rFonts w:ascii="Aptos" w:hAnsi="Aptos"/>
                <w:color w:val="191919"/>
                <w:sz w:val="17"/>
              </w:rPr>
              <w:t>Checklist Profesional</w:t>
            </w:r>
          </w:p>
          <w:p>
            <w:pPr>
              <w:spacing w:before="0" w:after="20" w:line="252" w:lineRule="auto"/>
              <w:jc w:val="right"/>
            </w:pPr>
            <w:r>
              <w:rPr>
                <w:rFonts w:ascii="Aptos" w:hAnsi="Aptos"/>
                <w:b/>
                <w:color w:val="606963"/>
                <w:sz w:val="17"/>
              </w:rPr>
              <w:t xml:space="preserve">Fecha: </w:t>
            </w:r>
            <w:r>
              <w:rPr>
                <w:rFonts w:ascii="Aptos" w:hAnsi="Aptos"/>
                <w:color w:val="191919"/>
                <w:sz w:val="17"/>
              </w:rPr>
              <w:t>09/08/2026</w:t>
            </w:r>
          </w:p>
          <w:p>
            <w:pPr>
              <w:spacing w:before="0" w:after="20" w:line="252" w:lineRule="auto"/>
              <w:jc w:val="right"/>
            </w:pPr>
            <w:r>
              <w:rPr>
                <w:rFonts w:ascii="Aptos" w:hAnsi="Aptos"/>
                <w:b/>
                <w:color w:val="606963"/>
                <w:sz w:val="17"/>
              </w:rPr>
              <w:t xml:space="preserve">Versión: </w:t>
            </w:r>
            <w:r>
              <w:rPr>
                <w:rFonts w:ascii="Aptos" w:hAnsi="Aptos"/>
                <w:color w:val="191919"/>
                <w:sz w:val="17"/>
              </w:rPr>
              <w:t>0.2</w:t>
            </w:r>
          </w:p>
        </w:tc>
      </w:tr>
    </w:tbl>
    <w:p>
      <w:pPr>
        <w:spacing w:before="0" w:after="120" w:line="276" w:lineRule="auto"/>
        <w:pBdr>
          <w:bottom w:val="single" w:sz="4" w:space="2" w:color="D9E2D5"/>
        </w:pBdr>
      </w:pPr>
    </w:p>
    <w:p>
      <w:pPr>
        <w:keepNext/>
        <w:spacing w:before="80" w:after="240" w:line="252" w:lineRule="auto"/>
        <w:jc w:val="left"/>
      </w:pPr>
      <w:r>
        <w:rPr>
          <w:rFonts w:ascii="Aptos" w:hAnsi="Aptos"/>
          <w:b/>
          <w:color w:val="4F754F"/>
          <w:sz w:val="34"/>
        </w:rPr>
        <w:t>Checklist Profesional</w:t>
      </w:r>
    </w:p>
    <w:p>
      <w:pPr>
        <w:spacing w:before="0" w:after="160" w:line="276" w:lineRule="auto"/>
      </w:pPr>
      <w:r>
        <w:rPr>
          <w:rFonts w:ascii="Aptos" w:hAnsi="Aptos"/>
          <w:i/>
          <w:color w:val="606963"/>
          <w:sz w:val="20"/>
        </w:rPr>
        <w:t>Herramienta de comprobación breve derivada de la Historia Clínica. Su finalidad es confirmar que ninguna área relevante ha quedado sin explorar, sin sustituir la conversación clínica ni duplicar preguntas.</w:t>
      </w:r>
    </w:p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DDE5D8"/>
          <w:left w:val="single" w:sz="4" w:space="0" w:color="DDE5D8"/>
          <w:bottom w:val="single" w:sz="4" w:space="0" w:color="DDE5D8"/>
          <w:right w:val="single" w:sz="4" w:space="0" w:color="DDE5D8"/>
          <w:insideH w:val="single" w:sz="4" w:space="0" w:color="DDE5D8"/>
          <w:insideV w:val="single" w:sz="4" w:space="0" w:color="DDE5D8"/>
        </w:tblBorders>
        <w:tblLayout w:type="fixed"/>
      </w:tblPr>
      <w:tblGrid>
        <w:gridCol w:w="700"/>
        <w:gridCol w:w="2950"/>
        <w:gridCol w:w="950"/>
        <w:gridCol w:w="4400"/>
      </w:tblGrid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EA"/>
          </w:tcPr>
          <w:p>
            <w:pPr>
              <w:spacing w:before="0" w:after="20" w:line="276" w:lineRule="auto"/>
            </w:pPr>
            <w:r>
              <w:rPr>
                <w:rFonts w:ascii="Aptos" w:hAnsi="Aptos"/>
                <w:b/>
                <w:color w:val="4F754F"/>
                <w:sz w:val="17"/>
              </w:rPr>
              <w:t>N.º</w:t>
            </w:r>
          </w:p>
        </w:tc>
        <w:tc>
          <w:tcPr>
            <w:tcW w:type="dxa" w:w="2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EA"/>
          </w:tcPr>
          <w:p>
            <w:pPr>
              <w:spacing w:before="0" w:after="20" w:line="276" w:lineRule="auto"/>
            </w:pPr>
            <w:r>
              <w:rPr>
                <w:rFonts w:ascii="Aptos" w:hAnsi="Aptos"/>
                <w:b/>
                <w:color w:val="4F754F"/>
                <w:sz w:val="17"/>
              </w:rPr>
              <w:t>Área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EA"/>
          </w:tcPr>
          <w:p>
            <w:pPr>
              <w:spacing w:before="0" w:after="20" w:line="276" w:lineRule="auto"/>
            </w:pPr>
            <w:r>
              <w:rPr>
                <w:rFonts w:ascii="Aptos" w:hAnsi="Aptos"/>
                <w:b/>
                <w:color w:val="4F754F"/>
                <w:sz w:val="17"/>
              </w:rPr>
              <w:t>Revisado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EA"/>
          </w:tcPr>
          <w:p>
            <w:pPr>
              <w:spacing w:before="0" w:after="20" w:line="276" w:lineRule="auto"/>
            </w:pPr>
            <w:r>
              <w:rPr>
                <w:rFonts w:ascii="Aptos" w:hAnsi="Aptos"/>
                <w:b/>
                <w:color w:val="4F754F"/>
                <w:sz w:val="17"/>
              </w:rPr>
              <w:t>Observaciones breves</w:t>
            </w:r>
          </w:p>
        </w:tc>
      </w:tr>
      <w:tr>
        <w:tc>
          <w:tcPr>
            <w:tcW w:type="dxa" w:w="700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 w:val="0"/>
                <w:color w:val="191919"/>
                <w:sz w:val="17"/>
              </w:rPr>
              <w:t>1</w:t>
            </w:r>
          </w:p>
        </w:tc>
        <w:tc>
          <w:tcPr>
            <w:tcW w:type="dxa" w:w="2950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/>
                <w:color w:val="191919"/>
                <w:sz w:val="17"/>
              </w:rPr>
              <w:t>Datos identificativos</w:t>
            </w:r>
          </w:p>
        </w:tc>
        <w:tc>
          <w:tcPr>
            <w:tcW w:type="dxa" w:w="950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 w:val="0"/>
                <w:color w:val="191919"/>
                <w:sz w:val="17"/>
              </w:rPr>
              <w:t>□</w:t>
            </w:r>
          </w:p>
        </w:tc>
        <w:tc>
          <w:tcPr>
            <w:tcW w:type="dxa" w:w="4400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606963"/>
                <w:sz w:val="16"/>
              </w:rPr>
              <w:t>Identificación, contacto y persona de emergencia.</w:t>
            </w:r>
          </w:p>
        </w:tc>
      </w:tr>
      <w:tr>
        <w:tc>
          <w:tcPr>
            <w:tcW w:type="dxa" w:w="700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 w:val="0"/>
                <w:color w:val="191919"/>
                <w:sz w:val="17"/>
              </w:rPr>
              <w:t>2</w:t>
            </w:r>
          </w:p>
        </w:tc>
        <w:tc>
          <w:tcPr>
            <w:tcW w:type="dxa" w:w="2950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/>
                <w:color w:val="191919"/>
                <w:sz w:val="17"/>
              </w:rPr>
              <w:t>Información administrativa</w:t>
            </w:r>
          </w:p>
        </w:tc>
        <w:tc>
          <w:tcPr>
            <w:tcW w:type="dxa" w:w="950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 w:val="0"/>
                <w:color w:val="191919"/>
                <w:sz w:val="17"/>
              </w:rPr>
              <w:t>□</w:t>
            </w:r>
          </w:p>
        </w:tc>
        <w:tc>
          <w:tcPr>
            <w:tcW w:type="dxa" w:w="4400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606963"/>
                <w:sz w:val="16"/>
              </w:rPr>
              <w:t>Modalidad, primera sesión, forma de llegada, derivación, informe, consentimiento y condiciones.</w:t>
            </w:r>
          </w:p>
        </w:tc>
      </w:tr>
      <w:tr>
        <w:tc>
          <w:tcPr>
            <w:tcW w:type="dxa" w:w="700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 w:val="0"/>
                <w:color w:val="191919"/>
                <w:sz w:val="17"/>
              </w:rPr>
              <w:t>3</w:t>
            </w:r>
          </w:p>
        </w:tc>
        <w:tc>
          <w:tcPr>
            <w:tcW w:type="dxa" w:w="2950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/>
                <w:color w:val="191919"/>
                <w:sz w:val="17"/>
              </w:rPr>
              <w:t>Motivo de consulta</w:t>
            </w:r>
          </w:p>
        </w:tc>
        <w:tc>
          <w:tcPr>
            <w:tcW w:type="dxa" w:w="950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 w:val="0"/>
                <w:color w:val="191919"/>
                <w:sz w:val="17"/>
              </w:rPr>
              <w:t>□</w:t>
            </w:r>
          </w:p>
        </w:tc>
        <w:tc>
          <w:tcPr>
            <w:tcW w:type="dxa" w:w="4400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606963"/>
                <w:sz w:val="16"/>
              </w:rPr>
              <w:t>Motivo registrado con palabras de la persona cuando sea posible.</w:t>
            </w:r>
          </w:p>
        </w:tc>
      </w:tr>
      <w:tr>
        <w:tc>
          <w:tcPr>
            <w:tcW w:type="dxa" w:w="700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 w:val="0"/>
                <w:color w:val="191919"/>
                <w:sz w:val="17"/>
              </w:rPr>
              <w:t>4</w:t>
            </w:r>
          </w:p>
        </w:tc>
        <w:tc>
          <w:tcPr>
            <w:tcW w:type="dxa" w:w="2950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/>
                <w:color w:val="191919"/>
                <w:sz w:val="17"/>
              </w:rPr>
              <w:t>Demanda</w:t>
            </w:r>
          </w:p>
        </w:tc>
        <w:tc>
          <w:tcPr>
            <w:tcW w:type="dxa" w:w="950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 w:val="0"/>
                <w:color w:val="191919"/>
                <w:sz w:val="17"/>
              </w:rPr>
              <w:t>□</w:t>
            </w:r>
          </w:p>
        </w:tc>
        <w:tc>
          <w:tcPr>
            <w:tcW w:type="dxa" w:w="4400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606963"/>
                <w:sz w:val="16"/>
              </w:rPr>
              <w:t>Expectativas y cambios esperados suficientemente aclarados.</w:t>
            </w:r>
          </w:p>
        </w:tc>
      </w:tr>
      <w:tr>
        <w:tc>
          <w:tcPr>
            <w:tcW w:type="dxa" w:w="700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 w:val="0"/>
                <w:color w:val="191919"/>
                <w:sz w:val="17"/>
              </w:rPr>
              <w:t>5</w:t>
            </w:r>
          </w:p>
        </w:tc>
        <w:tc>
          <w:tcPr>
            <w:tcW w:type="dxa" w:w="2950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/>
                <w:color w:val="191919"/>
                <w:sz w:val="17"/>
              </w:rPr>
              <w:t>Historia del motivo</w:t>
            </w:r>
          </w:p>
        </w:tc>
        <w:tc>
          <w:tcPr>
            <w:tcW w:type="dxa" w:w="950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 w:val="0"/>
                <w:color w:val="191919"/>
                <w:sz w:val="17"/>
              </w:rPr>
              <w:t>□</w:t>
            </w:r>
          </w:p>
        </w:tc>
        <w:tc>
          <w:tcPr>
            <w:tcW w:type="dxa" w:w="4400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606963"/>
                <w:sz w:val="16"/>
              </w:rPr>
              <w:t>Inicio, evolución, desencadenantes, intentos previos y situación actual.</w:t>
            </w:r>
          </w:p>
        </w:tc>
      </w:tr>
      <w:tr>
        <w:tc>
          <w:tcPr>
            <w:tcW w:type="dxa" w:w="700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 w:val="0"/>
                <w:color w:val="191919"/>
                <w:sz w:val="17"/>
              </w:rPr>
              <w:t>6</w:t>
            </w:r>
          </w:p>
        </w:tc>
        <w:tc>
          <w:tcPr>
            <w:tcW w:type="dxa" w:w="2950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/>
                <w:color w:val="191919"/>
                <w:sz w:val="17"/>
              </w:rPr>
              <w:t>Contexto vital y áreas actuales</w:t>
            </w:r>
          </w:p>
        </w:tc>
        <w:tc>
          <w:tcPr>
            <w:tcW w:type="dxa" w:w="950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 w:val="0"/>
                <w:color w:val="191919"/>
                <w:sz w:val="17"/>
              </w:rPr>
              <w:t>□</w:t>
            </w:r>
          </w:p>
        </w:tc>
        <w:tc>
          <w:tcPr>
            <w:tcW w:type="dxa" w:w="4400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606963"/>
                <w:sz w:val="16"/>
              </w:rPr>
              <w:t>Ánimo, ansiedad, sueño, alimentación, somatizaciones, atención, relaciones, trabajo, ocio y sustancias si procede.</w:t>
            </w:r>
          </w:p>
        </w:tc>
      </w:tr>
      <w:tr>
        <w:tc>
          <w:tcPr>
            <w:tcW w:type="dxa" w:w="700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 w:val="0"/>
                <w:color w:val="191919"/>
                <w:sz w:val="17"/>
              </w:rPr>
              <w:t>7</w:t>
            </w:r>
          </w:p>
        </w:tc>
        <w:tc>
          <w:tcPr>
            <w:tcW w:type="dxa" w:w="2950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/>
                <w:color w:val="191919"/>
                <w:sz w:val="17"/>
              </w:rPr>
              <w:t>Recursos</w:t>
            </w:r>
          </w:p>
        </w:tc>
        <w:tc>
          <w:tcPr>
            <w:tcW w:type="dxa" w:w="950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 w:val="0"/>
                <w:color w:val="191919"/>
                <w:sz w:val="17"/>
              </w:rPr>
              <w:t>□</w:t>
            </w:r>
          </w:p>
        </w:tc>
        <w:tc>
          <w:tcPr>
            <w:tcW w:type="dxa" w:w="4400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606963"/>
                <w:sz w:val="16"/>
              </w:rPr>
              <w:t>Recursos personales, apoyos, intereses, estrategias útiles y factores protectores.</w:t>
            </w:r>
          </w:p>
        </w:tc>
      </w:tr>
      <w:tr>
        <w:tc>
          <w:tcPr>
            <w:tcW w:type="dxa" w:w="700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 w:val="0"/>
                <w:color w:val="191919"/>
                <w:sz w:val="17"/>
              </w:rPr>
              <w:t>8</w:t>
            </w:r>
          </w:p>
        </w:tc>
        <w:tc>
          <w:tcPr>
            <w:tcW w:type="dxa" w:w="2950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/>
                <w:color w:val="191919"/>
                <w:sz w:val="17"/>
              </w:rPr>
              <w:t>Antecedentes</w:t>
            </w:r>
          </w:p>
        </w:tc>
        <w:tc>
          <w:tcPr>
            <w:tcW w:type="dxa" w:w="950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 w:val="0"/>
                <w:color w:val="191919"/>
                <w:sz w:val="17"/>
              </w:rPr>
              <w:t>□</w:t>
            </w:r>
          </w:p>
        </w:tc>
        <w:tc>
          <w:tcPr>
            <w:tcW w:type="dxa" w:w="4400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606963"/>
                <w:sz w:val="16"/>
              </w:rPr>
              <w:t>Antecedentes psicológicos, psiquiátricos, médicos, tratamientos y consumo si procede.</w:t>
            </w:r>
          </w:p>
        </w:tc>
      </w:tr>
      <w:tr>
        <w:tc>
          <w:tcPr>
            <w:tcW w:type="dxa" w:w="700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 w:val="0"/>
                <w:color w:val="191919"/>
                <w:sz w:val="17"/>
              </w:rPr>
              <w:t>9</w:t>
            </w:r>
          </w:p>
        </w:tc>
        <w:tc>
          <w:tcPr>
            <w:tcW w:type="dxa" w:w="2950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/>
                <w:color w:val="191919"/>
                <w:sz w:val="17"/>
              </w:rPr>
              <w:t>Riesgo y seguridad</w:t>
            </w:r>
          </w:p>
        </w:tc>
        <w:tc>
          <w:tcPr>
            <w:tcW w:type="dxa" w:w="950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 w:val="0"/>
                <w:color w:val="191919"/>
                <w:sz w:val="17"/>
              </w:rPr>
              <w:t>□</w:t>
            </w:r>
          </w:p>
        </w:tc>
        <w:tc>
          <w:tcPr>
            <w:tcW w:type="dxa" w:w="4400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606963"/>
                <w:sz w:val="16"/>
              </w:rPr>
              <w:t>Valoración, resultado y actuaciones necesarias.</w:t>
            </w:r>
          </w:p>
        </w:tc>
      </w:tr>
      <w:tr>
        <w:tc>
          <w:tcPr>
            <w:tcW w:type="dxa" w:w="700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 w:val="0"/>
                <w:color w:val="191919"/>
                <w:sz w:val="17"/>
              </w:rPr>
              <w:t>10</w:t>
            </w:r>
          </w:p>
        </w:tc>
        <w:tc>
          <w:tcPr>
            <w:tcW w:type="dxa" w:w="2950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/>
                <w:color w:val="191919"/>
                <w:sz w:val="17"/>
              </w:rPr>
              <w:t>Comprensión / formulación</w:t>
            </w:r>
          </w:p>
        </w:tc>
        <w:tc>
          <w:tcPr>
            <w:tcW w:type="dxa" w:w="950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 w:val="0"/>
                <w:color w:val="191919"/>
                <w:sz w:val="17"/>
              </w:rPr>
              <w:t>□</w:t>
            </w:r>
          </w:p>
        </w:tc>
        <w:tc>
          <w:tcPr>
            <w:tcW w:type="dxa" w:w="4400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606963"/>
                <w:sz w:val="16"/>
              </w:rPr>
              <w:t>Predisponentes, precipitantes, mantenedores, protectores, relaciones funcionales e hipótesis si procede.</w:t>
            </w:r>
          </w:p>
        </w:tc>
      </w:tr>
      <w:tr>
        <w:tc>
          <w:tcPr>
            <w:tcW w:type="dxa" w:w="700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 w:val="0"/>
                <w:color w:val="191919"/>
                <w:sz w:val="17"/>
              </w:rPr>
              <w:t>11</w:t>
            </w:r>
          </w:p>
        </w:tc>
        <w:tc>
          <w:tcPr>
            <w:tcW w:type="dxa" w:w="2950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/>
                <w:color w:val="191919"/>
                <w:sz w:val="17"/>
              </w:rPr>
              <w:t>Objetivos terapéuticos</w:t>
            </w:r>
          </w:p>
        </w:tc>
        <w:tc>
          <w:tcPr>
            <w:tcW w:type="dxa" w:w="950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 w:val="0"/>
                <w:color w:val="191919"/>
                <w:sz w:val="17"/>
              </w:rPr>
              <w:t>□</w:t>
            </w:r>
          </w:p>
        </w:tc>
        <w:tc>
          <w:tcPr>
            <w:tcW w:type="dxa" w:w="4400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606963"/>
                <w:sz w:val="16"/>
              </w:rPr>
              <w:t>Objetivos acordados, priorizados y con indicadores de progreso.</w:t>
            </w:r>
          </w:p>
        </w:tc>
      </w:tr>
      <w:tr>
        <w:tc>
          <w:tcPr>
            <w:tcW w:type="dxa" w:w="700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 w:val="0"/>
                <w:color w:val="191919"/>
                <w:sz w:val="17"/>
              </w:rPr>
              <w:t>12</w:t>
            </w:r>
          </w:p>
        </w:tc>
        <w:tc>
          <w:tcPr>
            <w:tcW w:type="dxa" w:w="2950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/>
                <w:color w:val="191919"/>
                <w:sz w:val="17"/>
              </w:rPr>
              <w:t>Plan inicial</w:t>
            </w:r>
          </w:p>
        </w:tc>
        <w:tc>
          <w:tcPr>
            <w:tcW w:type="dxa" w:w="950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 w:val="0"/>
                <w:color w:val="191919"/>
                <w:sz w:val="17"/>
              </w:rPr>
              <w:t>□</w:t>
            </w:r>
          </w:p>
        </w:tc>
        <w:tc>
          <w:tcPr>
            <w:tcW w:type="dxa" w:w="4400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606963"/>
                <w:sz w:val="16"/>
              </w:rPr>
              <w:t>Frecuencia, modalidad, estrategias, criterios de revisión, coordinación o derivación si procede.</w:t>
            </w:r>
          </w:p>
        </w:tc>
      </w:tr>
      <w:tr>
        <w:tc>
          <w:tcPr>
            <w:tcW w:type="dxa" w:w="700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 w:val="0"/>
                <w:color w:val="191919"/>
                <w:sz w:val="17"/>
              </w:rPr>
              <w:t>13</w:t>
            </w:r>
          </w:p>
        </w:tc>
        <w:tc>
          <w:tcPr>
            <w:tcW w:type="dxa" w:w="2950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/>
                <w:color w:val="191919"/>
                <w:sz w:val="17"/>
              </w:rPr>
              <w:t>Evolución clínica</w:t>
            </w:r>
          </w:p>
        </w:tc>
        <w:tc>
          <w:tcPr>
            <w:tcW w:type="dxa" w:w="950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 w:val="0"/>
                <w:color w:val="191919"/>
                <w:sz w:val="17"/>
              </w:rPr>
              <w:t>□</w:t>
            </w:r>
          </w:p>
        </w:tc>
        <w:tc>
          <w:tcPr>
            <w:tcW w:type="dxa" w:w="4400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606963"/>
                <w:sz w:val="16"/>
              </w:rPr>
              <w:t>Registro proporcional, objetivo trabajado, progreso, plan próximo y revisión periódica.</w:t>
            </w:r>
          </w:p>
        </w:tc>
      </w:tr>
      <w:tr>
        <w:tc>
          <w:tcPr>
            <w:tcW w:type="dxa" w:w="700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 w:val="0"/>
                <w:color w:val="191919"/>
                <w:sz w:val="17"/>
              </w:rPr>
              <w:t>14</w:t>
            </w:r>
          </w:p>
        </w:tc>
        <w:tc>
          <w:tcPr>
            <w:tcW w:type="dxa" w:w="2950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/>
                <w:color w:val="191919"/>
                <w:sz w:val="17"/>
              </w:rPr>
              <w:t>Cambios relevantes / hitos</w:t>
            </w:r>
          </w:p>
        </w:tc>
        <w:tc>
          <w:tcPr>
            <w:tcW w:type="dxa" w:w="950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 w:val="0"/>
                <w:color w:val="191919"/>
                <w:sz w:val="17"/>
              </w:rPr>
              <w:t>□</w:t>
            </w:r>
          </w:p>
        </w:tc>
        <w:tc>
          <w:tcPr>
            <w:tcW w:type="dxa" w:w="4400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606963"/>
                <w:sz w:val="16"/>
              </w:rPr>
              <w:t>Cambios del proceso e implicaciones clínicas.</w:t>
            </w:r>
          </w:p>
        </w:tc>
      </w:tr>
      <w:tr>
        <w:tc>
          <w:tcPr>
            <w:tcW w:type="dxa" w:w="700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 w:val="0"/>
                <w:color w:val="191919"/>
                <w:sz w:val="17"/>
              </w:rPr>
              <w:t>15</w:t>
            </w:r>
          </w:p>
        </w:tc>
        <w:tc>
          <w:tcPr>
            <w:tcW w:type="dxa" w:w="2950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/>
                <w:color w:val="191919"/>
                <w:sz w:val="17"/>
              </w:rPr>
              <w:t>Coordinación</w:t>
            </w:r>
          </w:p>
        </w:tc>
        <w:tc>
          <w:tcPr>
            <w:tcW w:type="dxa" w:w="950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 w:val="0"/>
                <w:color w:val="191919"/>
                <w:sz w:val="17"/>
              </w:rPr>
              <w:t>□</w:t>
            </w:r>
          </w:p>
        </w:tc>
        <w:tc>
          <w:tcPr>
            <w:tcW w:type="dxa" w:w="4400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606963"/>
                <w:sz w:val="16"/>
              </w:rPr>
              <w:t>Recursos o profesionales implicados, motivo y actuación.</w:t>
            </w:r>
          </w:p>
        </w:tc>
      </w:tr>
      <w:tr>
        <w:tc>
          <w:tcPr>
            <w:tcW w:type="dxa" w:w="700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 w:val="0"/>
                <w:color w:val="191919"/>
                <w:sz w:val="17"/>
              </w:rPr>
              <w:t>16</w:t>
            </w:r>
          </w:p>
        </w:tc>
        <w:tc>
          <w:tcPr>
            <w:tcW w:type="dxa" w:w="2950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/>
                <w:color w:val="191919"/>
                <w:sz w:val="17"/>
              </w:rPr>
              <w:t>Cierre del proceso</w:t>
            </w:r>
          </w:p>
        </w:tc>
        <w:tc>
          <w:tcPr>
            <w:tcW w:type="dxa" w:w="950"/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/>
                <w:b w:val="0"/>
                <w:color w:val="191919"/>
                <w:sz w:val="17"/>
              </w:rPr>
              <w:t>□</w:t>
            </w:r>
          </w:p>
        </w:tc>
        <w:tc>
          <w:tcPr>
            <w:tcW w:type="dxa" w:w="4400"/>
          </w:tcPr>
          <w:p>
            <w:pPr>
              <w:spacing w:before="0" w:after="40" w:line="252" w:lineRule="auto"/>
            </w:pPr>
            <w:r>
              <w:rPr>
                <w:rFonts w:ascii="Aptos" w:hAnsi="Aptos"/>
                <w:b w:val="0"/>
                <w:color w:val="606963"/>
                <w:sz w:val="16"/>
              </w:rPr>
              <w:t>Motivo, objetivos alcanzados/pendientes, recomendaciones, derivación e informe de cierre si procede.</w:t>
            </w:r>
          </w:p>
        </w:tc>
      </w:tr>
    </w:tbl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D9E4D3"/>
          <w:left w:val="single" w:sz="4" w:space="0" w:color="D9E4D3"/>
          <w:bottom w:val="single" w:sz="4" w:space="0" w:color="D9E4D3"/>
          <w:right w:val="single" w:sz="4" w:space="0" w:color="D9E4D3"/>
          <w:insideH w:val="single" w:sz="4" w:space="0" w:color="D9E4D3"/>
          <w:insideV w:val="single" w:sz="4" w:space="0" w:color="D9E4D3"/>
        </w:tblBorders>
        <w:tblLayout w:type="fixed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EA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i/>
                <w:color w:val="606963"/>
                <w:sz w:val="18"/>
              </w:rPr>
              <w:t>Este checklist es un apoyo de revisión. No debe utilizarse como interrogatorio rígido ni sustituir el juicio clínico.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935" w:right="1106" w:bottom="935" w:left="1106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06963"/>
        <w:sz w:val="17"/>
      </w:rPr>
      <w:t>Esencia &amp; Cambio · Psicología General Sanitaria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9191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4F754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4F754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60696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