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000"/>
        <w:jc w:val="center"/>
        <w:tblLook w:firstColumn="1" w:firstRow="1" w:lastColumn="0" w:lastRow="0" w:noHBand="0" w:noVBand="1" w:val="04A0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</w:tblPr>
      <w:tblGrid>
        <w:gridCol w:w="5300"/>
        <w:gridCol w:w="3700"/>
      </w:tblGrid>
      <w:tr>
        <w:tc>
          <w:tcPr>
            <w:tcW w:type="dxa" w:w="5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015999" cy="41177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ec-web-header-verde-rasterizad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117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76" w:lineRule="auto"/>
            </w:pPr>
            <w:r>
              <w:rPr>
                <w:rFonts w:ascii="Aptos" w:hAnsi="Aptos"/>
                <w:color w:val="606963"/>
                <w:sz w:val="17"/>
              </w:rPr>
              <w:t>Psicología General Sanitaria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right"/>
            </w:pPr>
            <w:r>
              <w:rPr>
                <w:rFonts w:ascii="Aptos" w:hAnsi="Aptos"/>
                <w:b/>
                <w:color w:val="606963"/>
                <w:sz w:val="17"/>
              </w:rPr>
              <w:t xml:space="preserve">Documento: </w:t>
            </w:r>
            <w:r>
              <w:rPr>
                <w:rFonts w:ascii="Aptos" w:hAnsi="Aptos"/>
                <w:color w:val="191919"/>
                <w:sz w:val="17"/>
              </w:rPr>
              <w:t>Condiciones del Servicio</w:t>
            </w:r>
          </w:p>
          <w:p>
            <w:pPr>
              <w:spacing w:before="0" w:after="20" w:line="252" w:lineRule="auto"/>
              <w:jc w:val="right"/>
            </w:pPr>
            <w:r>
              <w:rPr>
                <w:rFonts w:ascii="Aptos" w:hAnsi="Aptos"/>
                <w:b/>
                <w:color w:val="606963"/>
                <w:sz w:val="17"/>
              </w:rPr>
              <w:t xml:space="preserve">Fecha: </w:t>
            </w:r>
            <w:r>
              <w:rPr>
                <w:rFonts w:ascii="Aptos" w:hAnsi="Aptos"/>
                <w:color w:val="191919"/>
                <w:sz w:val="17"/>
              </w:rPr>
              <w:t>09/08/2026</w:t>
            </w:r>
          </w:p>
          <w:p>
            <w:pPr>
              <w:spacing w:before="0" w:after="20" w:line="252" w:lineRule="auto"/>
              <w:jc w:val="right"/>
            </w:pPr>
            <w:r>
              <w:rPr>
                <w:rFonts w:ascii="Aptos" w:hAnsi="Aptos"/>
                <w:b/>
                <w:color w:val="606963"/>
                <w:sz w:val="17"/>
              </w:rPr>
              <w:t xml:space="preserve">Versión: </w:t>
            </w:r>
            <w:r>
              <w:rPr>
                <w:rFonts w:ascii="Aptos" w:hAnsi="Aptos"/>
                <w:color w:val="191919"/>
                <w:sz w:val="17"/>
              </w:rPr>
              <w:t>0.2</w:t>
            </w:r>
          </w:p>
        </w:tc>
      </w:tr>
    </w:tbl>
    <w:p>
      <w:pPr>
        <w:spacing w:before="0" w:after="120" w:line="276" w:lineRule="auto"/>
        <w:pBdr>
          <w:bottom w:val="single" w:sz="4" w:space="2" w:color="D9E2D5"/>
        </w:pBdr>
      </w:pPr>
    </w:p>
    <w:p>
      <w:pPr>
        <w:keepNext/>
        <w:spacing w:before="80" w:after="240" w:line="252" w:lineRule="auto"/>
        <w:jc w:val="left"/>
      </w:pPr>
      <w:r>
        <w:rPr>
          <w:rFonts w:ascii="Aptos" w:hAnsi="Aptos"/>
          <w:b/>
          <w:color w:val="4F754F"/>
          <w:sz w:val="34"/>
        </w:rPr>
        <w:t>Condiciones del Servicio</w:t>
      </w:r>
    </w:p>
    <w:p>
      <w:pPr>
        <w:spacing w:before="0" w:after="160" w:line="276" w:lineRule="auto"/>
      </w:pPr>
      <w:r>
        <w:rPr>
          <w:rFonts w:ascii="Aptos" w:hAnsi="Aptos"/>
          <w:i/>
          <w:color w:val="606963"/>
          <w:sz w:val="20"/>
        </w:rPr>
        <w:t>Documento de información práctica sobre el funcionamiento del servicio de Psicología General Sanitaria en Esencia &amp; Cambio. Su tono debe ser claro, cercano y profesional.</w:t>
      </w:r>
    </w:p>
    <w:p>
      <w:pPr>
        <w:pStyle w:val="Heading1"/>
      </w:pPr>
      <w:r>
        <w:t>1. Finalidad del servicio</w:t>
      </w:r>
    </w:p>
    <w:p>
      <w:pPr>
        <w:spacing w:before="0" w:after="120" w:line="276" w:lineRule="auto"/>
      </w:pPr>
      <w:r>
        <w:rPr>
          <w:rFonts w:ascii="Aptos" w:hAnsi="Aptos"/>
          <w:i w:val="0"/>
          <w:color w:val="191919"/>
          <w:sz w:val="20"/>
        </w:rPr>
        <w:t>Esencia &amp; Cambio ofrece atención psicológica sanitaria dirigida a personas adultas. El proceso puede incluir evaluación, comprensión clínica, intervención, seguimiento y cierre terapéutico.</w:t>
      </w:r>
    </w:p>
    <w:p>
      <w:pPr>
        <w:pStyle w:val="Heading1"/>
      </w:pPr>
      <w:r>
        <w:t>2. Datos profesionales</w:t>
      </w:r>
    </w:p>
    <w:p>
      <w:pPr>
        <w:spacing w:before="0" w:after="120" w:line="276" w:lineRule="auto"/>
      </w:pPr>
      <w:r>
        <w:rPr>
          <w:rFonts w:ascii="Aptos" w:hAnsi="Aptos"/>
          <w:i w:val="0"/>
          <w:color w:val="191919"/>
          <w:sz w:val="20"/>
        </w:rPr>
        <w:t>La persona atendida tendrá derecho a conocer la identidad profesional, titulación, número de colegiación y, cuando proceda, datos del centro sanitario registrado.</w:t>
      </w:r>
    </w:p>
    <w:p>
      <w:pPr>
        <w:pStyle w:val="Heading1"/>
      </w:pPr>
      <w:r>
        <w:t>3. Modalidad de atención</w:t>
      </w:r>
    </w:p>
    <w:p>
      <w:pPr>
        <w:spacing w:before="0" w:after="120" w:line="276" w:lineRule="auto"/>
      </w:pPr>
      <w:r>
        <w:rPr>
          <w:rFonts w:ascii="Aptos" w:hAnsi="Aptos"/>
          <w:i w:val="0"/>
          <w:color w:val="191919"/>
          <w:sz w:val="20"/>
        </w:rPr>
        <w:t>Las sesiones podrán realizarse de forma presencial u online, según disponibilidad, adecuación clínica y acuerdo entre la persona atendida y la profesional.</w:t>
      </w:r>
    </w:p>
    <w:p>
      <w:pPr>
        <w:pStyle w:val="Heading1"/>
      </w:pPr>
      <w:r>
        <w:t>4. Duración y frecuencia</w:t>
      </w:r>
    </w:p>
    <w:p>
      <w:pPr>
        <w:spacing w:before="0" w:after="120" w:line="276" w:lineRule="auto"/>
      </w:pPr>
      <w:r>
        <w:rPr>
          <w:rFonts w:ascii="Aptos" w:hAnsi="Aptos"/>
          <w:i w:val="0"/>
          <w:color w:val="191919"/>
          <w:sz w:val="20"/>
        </w:rPr>
        <w:t>La duración y frecuencia de las sesiones se establecerán en función del encuadre acordado, la necesidad clínica y la evolución del proceso.</w:t>
      </w:r>
    </w:p>
    <w:p>
      <w:pPr>
        <w:pStyle w:val="Heading1"/>
      </w:pPr>
      <w:r>
        <w:t>5. Honorarios</w:t>
      </w:r>
    </w:p>
    <w:p>
      <w:pPr>
        <w:spacing w:before="0" w:after="120" w:line="276" w:lineRule="auto"/>
      </w:pPr>
      <w:r>
        <w:rPr>
          <w:rFonts w:ascii="Aptos" w:hAnsi="Aptos"/>
          <w:i w:val="0"/>
          <w:color w:val="191919"/>
          <w:sz w:val="20"/>
        </w:rPr>
        <w:t>Los honorarios se informarán antes del inicio del proceso. Podrán diferenciarse primera consulta, sesiones de seguimiento, informes u otros servicios profesionales.</w:t>
      </w:r>
    </w:p>
    <w:p>
      <w:pPr>
        <w:pStyle w:val="Heading1"/>
      </w:pPr>
      <w:r>
        <w:t>6. Pagos y facturación</w:t>
      </w:r>
    </w:p>
    <w:p>
      <w:pPr>
        <w:spacing w:before="0" w:after="120" w:line="276" w:lineRule="auto"/>
      </w:pPr>
      <w:r>
        <w:rPr>
          <w:rFonts w:ascii="Aptos" w:hAnsi="Aptos"/>
          <w:i w:val="0"/>
          <w:color w:val="191919"/>
          <w:sz w:val="20"/>
        </w:rPr>
        <w:t>La forma y momento de pago se acordarán dentro del encuadre del servicio. La facturación se realizará conforme a la normativa aplicable.</w:t>
      </w:r>
    </w:p>
    <w:p>
      <w:pPr>
        <w:pStyle w:val="Heading1"/>
      </w:pPr>
      <w:r>
        <w:t>7. Cambios y cancelaciones</w:t>
      </w:r>
    </w:p>
    <w:p>
      <w:pPr>
        <w:spacing w:before="0" w:after="120" w:line="276" w:lineRule="auto"/>
      </w:pPr>
      <w:r>
        <w:rPr>
          <w:rFonts w:ascii="Aptos" w:hAnsi="Aptos"/>
          <w:i w:val="0"/>
          <w:color w:val="191919"/>
          <w:sz w:val="20"/>
        </w:rPr>
        <w:t>Si la persona necesita modificar o cancelar una sesión, deberá comunicarlo con la mayor antelación posible. Podrá establecerse un plazo mínimo de cancelación y una regla para ausencias no justificadas.</w:t>
      </w:r>
    </w:p>
    <w:p>
      <w:pPr>
        <w:pStyle w:val="Heading1"/>
      </w:pPr>
      <w:r>
        <w:t>8. Comunicación entre sesiones</w:t>
      </w:r>
    </w:p>
    <w:p>
      <w:pPr>
        <w:spacing w:before="0" w:after="120" w:line="276" w:lineRule="auto"/>
      </w:pPr>
      <w:r>
        <w:rPr>
          <w:rFonts w:ascii="Aptos" w:hAnsi="Aptos"/>
          <w:i w:val="0"/>
          <w:color w:val="191919"/>
          <w:sz w:val="20"/>
        </w:rPr>
        <w:t>La comunicación fuera de sesión deberá limitarse a cuestiones organizativas o incidencias relevantes. No sustituye la atención clínica ni constituye un canal de urgencias.</w:t>
      </w:r>
    </w:p>
    <w:p>
      <w:pPr>
        <w:pStyle w:val="Heading1"/>
      </w:pPr>
      <w:r>
        <w:t>9. Urgencias y situaciones de riesgo</w:t>
      </w:r>
    </w:p>
    <w:p>
      <w:pPr>
        <w:spacing w:before="0" w:after="120" w:line="276" w:lineRule="auto"/>
      </w:pPr>
      <w:r>
        <w:rPr>
          <w:rFonts w:ascii="Aptos" w:hAnsi="Aptos"/>
          <w:i w:val="0"/>
          <w:color w:val="191919"/>
          <w:sz w:val="20"/>
        </w:rPr>
        <w:t>Esencia &amp; Cambio no funciona como servicio de urgencias. Ante riesgo inmediato o emergencia, la persona deberá contactar con los servicios de emergencia o recursos sanitarios correspondientes.</w:t>
      </w:r>
    </w:p>
    <w:p>
      <w:pPr>
        <w:pStyle w:val="Heading1"/>
      </w:pPr>
      <w:r>
        <w:t>10. Confidencialidad y protección de datos</w:t>
      </w:r>
    </w:p>
    <w:p>
      <w:pPr>
        <w:spacing w:before="0" w:after="120" w:line="276" w:lineRule="auto"/>
      </w:pPr>
      <w:r>
        <w:rPr>
          <w:rFonts w:ascii="Aptos" w:hAnsi="Aptos"/>
          <w:i w:val="0"/>
          <w:color w:val="191919"/>
          <w:sz w:val="20"/>
        </w:rPr>
        <w:t>La información será tratada con confidencialidad y conforme a la normativa de protección de datos. La documentación clínica real se conservará en un sistema protegido.</w:t>
      </w:r>
    </w:p>
    <w:p>
      <w:pPr>
        <w:pStyle w:val="Heading1"/>
      </w:pPr>
      <w:r>
        <w:t>11. Vacaciones y periodos de inactividad</w:t>
      </w:r>
    </w:p>
    <w:p>
      <w:pPr>
        <w:spacing w:before="0" w:after="120" w:line="276" w:lineRule="auto"/>
      </w:pPr>
      <w:r>
        <w:rPr>
          <w:rFonts w:ascii="Aptos" w:hAnsi="Aptos"/>
          <w:i w:val="0"/>
          <w:color w:val="191919"/>
          <w:sz w:val="20"/>
        </w:rPr>
        <w:t>Los periodos previsibles de inactividad se comunicarán con antelación razonable, especialmente cuando puedan afectar a la continuidad del proceso.</w:t>
      </w:r>
    </w:p>
    <w:p>
      <w:pPr>
        <w:pStyle w:val="Heading1"/>
      </w:pPr>
      <w:r>
        <w:t>12. Finalización o interrupción del servicio</w:t>
      </w:r>
    </w:p>
    <w:p>
      <w:pPr>
        <w:spacing w:before="0" w:after="120" w:line="276" w:lineRule="auto"/>
      </w:pPr>
      <w:r>
        <w:rPr>
          <w:rFonts w:ascii="Aptos" w:hAnsi="Aptos"/>
          <w:i w:val="0"/>
          <w:color w:val="191919"/>
          <w:sz w:val="20"/>
        </w:rPr>
        <w:t>El proceso podrá finalizar por acuerdo, cumplimiento de objetivos, decisión de la persona, derivación o causa profesional justificada. Cuando sea necesario, se procurará una sesión de cierre o una orientación de continuidad.</w:t>
      </w:r>
    </w:p>
    <w:p>
      <w:pPr>
        <w:pStyle w:val="Heading1"/>
      </w:pPr>
      <w:r>
        <w:t>13. Datos económicos y organizativos</w:t>
      </w:r>
    </w:p>
    <w:tbl>
      <w:tblPr>
        <w:tblW w:type="dxa" w:w="9000"/>
        <w:jc w:val="center"/>
        <w:tblLook w:firstColumn="1" w:firstRow="1" w:lastColumn="0" w:lastRow="0" w:noHBand="0" w:noVBand="1" w:val="04A0"/>
        <w:tblBorders>
          <w:top w:val="single" w:sz="4" w:space="0" w:color="DDE5D8"/>
          <w:left w:val="single" w:sz="4" w:space="0" w:color="DDE5D8"/>
          <w:bottom w:val="single" w:sz="4" w:space="0" w:color="DDE5D8"/>
          <w:right w:val="single" w:sz="4" w:space="0" w:color="DDE5D8"/>
          <w:insideH w:val="single" w:sz="4" w:space="0" w:color="DDE5D8"/>
          <w:insideV w:val="single" w:sz="4" w:space="0" w:color="DDE5D8"/>
        </w:tblBorders>
        <w:tblLayout w:type="fixed"/>
      </w:tblPr>
      <w:tblGrid>
        <w:gridCol w:w="3200"/>
        <w:gridCol w:w="5800"/>
      </w:tblGrid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Honorarios primera consulta / evaluación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Honorarios sesión de seguimiento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Honorarios informe, si procede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Forma de pago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Plazo mínimo de cancelación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Canal de comunicación organizativa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</w:tbl>
    <w:p/>
    <w:p>
      <w:pPr>
        <w:pStyle w:val="Heading1"/>
      </w:pPr>
      <w:r>
        <w:t>14. Confirmación de recepción</w:t>
      </w:r>
    </w:p>
    <w:p>
      <w:pPr>
        <w:spacing w:before="0" w:after="40" w:line="276" w:lineRule="auto"/>
      </w:pPr>
      <w:r>
        <w:rPr>
          <w:rFonts w:ascii="Aptos" w:hAnsi="Aptos"/>
          <w:color w:val="191919"/>
          <w:sz w:val="21"/>
        </w:rPr>
        <w:t>□ He recibido y comprendido la información básica sobre las condiciones del servicio.</w:t>
      </w:r>
    </w:p>
    <w:p>
      <w:pPr>
        <w:spacing w:before="0" w:after="40" w:line="276" w:lineRule="auto"/>
      </w:pPr>
      <w:r>
        <w:rPr>
          <w:rFonts w:ascii="Aptos" w:hAnsi="Aptos"/>
          <w:color w:val="191919"/>
          <w:sz w:val="21"/>
        </w:rPr>
        <w:t>□ He podido plantear dudas antes de iniciar el proceso.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Lugar y fecha: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tbl>
      <w:tblPr>
        <w:tblW w:type="dxa" w:w="9000"/>
        <w:jc w:val="center"/>
        <w:tblLook w:firstColumn="1" w:firstRow="1" w:lastColumn="0" w:lastRow="0" w:noHBand="0" w:noVBand="1" w:val="04A0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</w:tblPr>
      <w:tblGrid>
        <w:gridCol w:w="4500"/>
        <w:gridCol w:w="4500"/>
      </w:tblGrid>
      <w:tr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color w:val="AAB4A6"/>
                <w:sz w:val="18"/>
              </w:rPr>
              <w:br/>
              <w:br/>
              <w:t>____________________________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color w:val="AAB4A6"/>
                <w:sz w:val="18"/>
              </w:rPr>
              <w:br/>
              <w:br/>
              <w:t>____________________________</w:t>
            </w:r>
          </w:p>
        </w:tc>
      </w:tr>
      <w:tr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color w:val="606963"/>
                <w:sz w:val="18"/>
              </w:rPr>
              <w:t>Firma de la persona atendida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color w:val="606963"/>
                <w:sz w:val="18"/>
              </w:rPr>
              <w:t>Firma de la profesional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35" w:right="1106" w:bottom="935" w:left="1106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06963"/>
        <w:sz w:val="17"/>
      </w:rPr>
      <w:t>Esencia &amp; Cambio · Psicología General Sanitaria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9191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4F754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4F754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60696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