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</w:tblPr>
      <w:tblGrid>
        <w:gridCol w:w="5300"/>
        <w:gridCol w:w="3700"/>
      </w:tblGrid>
      <w:tr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015999" cy="4117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ec-web-header-verde-rasterizad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11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76" w:lineRule="auto"/>
            </w:pPr>
            <w:r>
              <w:rPr>
                <w:rFonts w:ascii="Aptos" w:hAnsi="Aptos"/>
                <w:color w:val="606963"/>
                <w:sz w:val="17"/>
              </w:rPr>
              <w:t>Psicología General Sanitaria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Documento: </w:t>
            </w:r>
            <w:r>
              <w:rPr>
                <w:rFonts w:ascii="Aptos" w:hAnsi="Aptos"/>
                <w:color w:val="191919"/>
                <w:sz w:val="17"/>
              </w:rPr>
              <w:t>Árboles de Decisión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Fecha: </w:t>
            </w:r>
            <w:r>
              <w:rPr>
                <w:rFonts w:ascii="Aptos" w:hAnsi="Aptos"/>
                <w:color w:val="191919"/>
                <w:sz w:val="17"/>
              </w:rPr>
              <w:t>09/08/2026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Versión: </w:t>
            </w:r>
            <w:r>
              <w:rPr>
                <w:rFonts w:ascii="Aptos" w:hAnsi="Aptos"/>
                <w:color w:val="191919"/>
                <w:sz w:val="17"/>
              </w:rPr>
              <w:t>0.2</w:t>
            </w:r>
          </w:p>
        </w:tc>
      </w:tr>
    </w:tbl>
    <w:p>
      <w:pPr>
        <w:spacing w:before="0" w:after="120" w:line="276" w:lineRule="auto"/>
        <w:pBdr>
          <w:bottom w:val="single" w:sz="4" w:space="2" w:color="D9E2D5"/>
        </w:pBdr>
      </w:pPr>
    </w:p>
    <w:p>
      <w:pPr>
        <w:keepNext/>
        <w:spacing w:before="80" w:after="240" w:line="252" w:lineRule="auto"/>
        <w:jc w:val="left"/>
      </w:pPr>
      <w:r>
        <w:rPr>
          <w:rFonts w:ascii="Aptos" w:hAnsi="Aptos"/>
          <w:b/>
          <w:color w:val="4F754F"/>
          <w:sz w:val="34"/>
        </w:rPr>
        <w:t>Árboles de Decisión</w:t>
      </w:r>
    </w:p>
    <w:p>
      <w:pPr>
        <w:spacing w:before="0" w:after="160" w:line="276" w:lineRule="auto"/>
      </w:pPr>
      <w:r>
        <w:rPr>
          <w:rFonts w:ascii="Aptos" w:hAnsi="Aptos"/>
          <w:i/>
          <w:color w:val="606963"/>
          <w:sz w:val="20"/>
        </w:rPr>
        <w:t>Herramientas de apoyo a decisiones clínicas, éticas u operativas. No sustituyen el juicio profesional, la supervisión ni la derivación cuando sean necesarias.</w:t>
      </w:r>
    </w:p>
    <w:p>
      <w:pPr>
        <w:pStyle w:val="Heading1"/>
      </w:pPr>
      <w:r>
        <w:t>1. Adecuación inicial del caso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600"/>
        <w:gridCol w:w="2700"/>
        <w:gridCol w:w="2700"/>
      </w:tblGrid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8"/>
              </w:rPr>
              <w:t>Pregunta guía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8"/>
              </w:rPr>
              <w:t>Si sí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8"/>
              </w:rPr>
              <w:t>Si no / duda</w:t>
            </w:r>
          </w:p>
        </w:tc>
      </w:tr>
      <w:tr>
        <w:tc>
          <w:tcPr>
            <w:tcW w:type="dxa" w:w="36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¿La demanda entra dentro del alcance profesional actual?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Continuar evaluación inicial.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Valorar derivación, coordinación o supervisión.</w:t>
            </w:r>
          </w:p>
        </w:tc>
      </w:tr>
      <w:tr>
        <w:tc>
          <w:tcPr>
            <w:tcW w:type="dxa" w:w="36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¿La modalidad propuesta es clínicamente adecuada?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Confirmar encuadre.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Proponer alternativa o revisar condiciones.</w:t>
            </w:r>
          </w:p>
        </w:tc>
      </w:tr>
      <w:tr>
        <w:tc>
          <w:tcPr>
            <w:tcW w:type="dxa" w:w="36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¿Existe información suficiente para iniciar?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Acordar plan inicial provisional.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Ampliar evaluación antes de intervenir.</w:t>
            </w:r>
          </w:p>
        </w:tc>
      </w:tr>
    </w:tbl>
    <w:p/>
    <w:p>
      <w:pPr>
        <w:pStyle w:val="Heading1"/>
      </w:pPr>
      <w:r>
        <w:t>2. Riesgo y seguridad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600"/>
        <w:gridCol w:w="2700"/>
        <w:gridCol w:w="2700"/>
      </w:tblGrid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8"/>
              </w:rPr>
              <w:t>Pregunta guía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8"/>
              </w:rPr>
              <w:t>Si sí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8"/>
              </w:rPr>
              <w:t>Si no / duda</w:t>
            </w:r>
          </w:p>
        </w:tc>
      </w:tr>
      <w:tr>
        <w:tc>
          <w:tcPr>
            <w:tcW w:type="dxa" w:w="36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¿Existe riesgo inmediato o grave?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Activar recursos de emergencia o coordinación necesaria.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Continuar valoración proporcional.</w:t>
            </w:r>
          </w:p>
        </w:tc>
      </w:tr>
      <w:tr>
        <w:tc>
          <w:tcPr>
            <w:tcW w:type="dxa" w:w="36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¿Hay factores protectores identificables?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Registrarlos y reforzarlos.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Explorar apoyos y plan de seguridad si procede.</w:t>
            </w:r>
          </w:p>
        </w:tc>
      </w:tr>
      <w:tr>
        <w:tc>
          <w:tcPr>
            <w:tcW w:type="dxa" w:w="36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¿Se requiere seguimiento reforzado?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Ajustar frecuencia o coordinación.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Mantener seguimiento habitual.</w:t>
            </w:r>
          </w:p>
        </w:tc>
      </w:tr>
    </w:tbl>
    <w:p/>
    <w:p>
      <w:pPr>
        <w:pStyle w:val="Heading1"/>
      </w:pPr>
      <w:r>
        <w:t>3. Derivación o coordinación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600"/>
        <w:gridCol w:w="2700"/>
        <w:gridCol w:w="2700"/>
      </w:tblGrid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8"/>
              </w:rPr>
              <w:t>Pregunta guía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8"/>
              </w:rPr>
              <w:t>Si sí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20" w:line="276" w:lineRule="auto"/>
            </w:pPr>
            <w:r>
              <w:rPr>
                <w:rFonts w:ascii="Aptos" w:hAnsi="Aptos"/>
                <w:b/>
                <w:color w:val="4F754F"/>
                <w:sz w:val="18"/>
              </w:rPr>
              <w:t>Si no / duda</w:t>
            </w:r>
          </w:p>
        </w:tc>
      </w:tr>
      <w:tr>
        <w:tc>
          <w:tcPr>
            <w:tcW w:type="dxa" w:w="36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¿El caso excede el alcance actual?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Derivar o coordinar con recurso adecuado.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Continuar con prudencia clínica.</w:t>
            </w:r>
          </w:p>
        </w:tc>
      </w:tr>
      <w:tr>
        <w:tc>
          <w:tcPr>
            <w:tcW w:type="dxa" w:w="36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¿Hay intervención de otros profesionales?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Solicitar consentimiento para coordinación si procede.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Registrar ausencia de coordinación necesaria.</w:t>
            </w:r>
          </w:p>
        </w:tc>
      </w:tr>
      <w:tr>
        <w:tc>
          <w:tcPr>
            <w:tcW w:type="dxa" w:w="36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/>
                <w:color w:val="191919"/>
                <w:sz w:val="17"/>
              </w:rPr>
              <w:t>¿La continuidad del proceso es beneficiosa?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Revisar objetivos y plan.</w:t>
            </w:r>
          </w:p>
        </w:tc>
        <w:tc>
          <w:tcPr>
            <w:tcW w:type="dxa" w:w="2700"/>
          </w:tcPr>
          <w:p>
            <w:pPr>
              <w:spacing w:before="0" w:after="60" w:line="264" w:lineRule="auto"/>
            </w:pPr>
            <w:r>
              <w:rPr>
                <w:rFonts w:ascii="Aptos" w:hAnsi="Aptos"/>
                <w:b w:val="0"/>
                <w:color w:val="606963"/>
                <w:sz w:val="17"/>
              </w:rPr>
              <w:t>Plantear cierre o derivación.</w:t>
            </w:r>
          </w:p>
        </w:tc>
      </w:tr>
    </w:tbl>
    <w:p/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9E4D3"/>
          <w:left w:val="single" w:sz="4" w:space="0" w:color="D9E4D3"/>
          <w:bottom w:val="single" w:sz="4" w:space="0" w:color="D9E4D3"/>
          <w:right w:val="single" w:sz="4" w:space="0" w:color="D9E4D3"/>
          <w:insideH w:val="single" w:sz="4" w:space="0" w:color="D9E4D3"/>
          <w:insideV w:val="single" w:sz="4" w:space="0" w:color="D9E4D3"/>
        </w:tblBorders>
        <w:tblLayout w:type="fixed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i/>
                <w:color w:val="606963"/>
                <w:sz w:val="18"/>
              </w:rPr>
              <w:t>Ante dudas éticas, legales o de seguridad, priorizar prudencia, supervisión y coordinación adecuada.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35" w:right="1106" w:bottom="935" w:left="110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963"/>
        <w:sz w:val="17"/>
      </w:rPr>
      <w:t>Esencia &amp; Cambio · Psicología General Sanitaria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4F754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4F75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6069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