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000"/>
        <w:jc w:val="center"/>
        <w:tblLook w:firstColumn="1" w:firstRow="1" w:lastColumn="0" w:lastRow="0" w:noHBand="0" w:noVBand="1" w:val="04A0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</w:tblPr>
      <w:tblGrid>
        <w:gridCol w:w="5300"/>
        <w:gridCol w:w="3700"/>
      </w:tblGrid>
      <w:tr>
        <w:tc>
          <w:tcPr>
            <w:tcW w:type="dxa" w:w="5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015999" cy="41177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ec-web-header-verde-rasterizad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999" cy="4117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76" w:lineRule="auto"/>
            </w:pPr>
            <w:r>
              <w:rPr>
                <w:rFonts w:ascii="Aptos" w:hAnsi="Aptos"/>
                <w:color w:val="606963"/>
                <w:sz w:val="17"/>
              </w:rPr>
              <w:t>Psicología General Sanitaria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right"/>
            </w:pPr>
            <w:r>
              <w:rPr>
                <w:rFonts w:ascii="Aptos" w:hAnsi="Aptos"/>
                <w:b/>
                <w:color w:val="606963"/>
                <w:sz w:val="17"/>
              </w:rPr>
              <w:t xml:space="preserve">Documento: </w:t>
            </w:r>
            <w:r>
              <w:rPr>
                <w:rFonts w:ascii="Aptos" w:hAnsi="Aptos"/>
                <w:color w:val="191919"/>
                <w:sz w:val="17"/>
              </w:rPr>
              <w:t>Gestión de Expedientes Clínicos</w:t>
            </w:r>
          </w:p>
          <w:p>
            <w:pPr>
              <w:spacing w:before="0" w:after="20" w:line="252" w:lineRule="auto"/>
              <w:jc w:val="right"/>
            </w:pPr>
            <w:r>
              <w:rPr>
                <w:rFonts w:ascii="Aptos" w:hAnsi="Aptos"/>
                <w:b/>
                <w:color w:val="606963"/>
                <w:sz w:val="17"/>
              </w:rPr>
              <w:t xml:space="preserve">Fecha: </w:t>
            </w:r>
            <w:r>
              <w:rPr>
                <w:rFonts w:ascii="Aptos" w:hAnsi="Aptos"/>
                <w:color w:val="191919"/>
                <w:sz w:val="17"/>
              </w:rPr>
              <w:t>09/08/2026</w:t>
            </w:r>
          </w:p>
          <w:p>
            <w:pPr>
              <w:spacing w:before="0" w:after="20" w:line="252" w:lineRule="auto"/>
              <w:jc w:val="right"/>
            </w:pPr>
            <w:r>
              <w:rPr>
                <w:rFonts w:ascii="Aptos" w:hAnsi="Aptos"/>
                <w:b/>
                <w:color w:val="606963"/>
                <w:sz w:val="17"/>
              </w:rPr>
              <w:t xml:space="preserve">Versión: </w:t>
            </w:r>
            <w:r>
              <w:rPr>
                <w:rFonts w:ascii="Aptos" w:hAnsi="Aptos"/>
                <w:color w:val="191919"/>
                <w:sz w:val="17"/>
              </w:rPr>
              <w:t>0.2</w:t>
            </w:r>
          </w:p>
        </w:tc>
      </w:tr>
    </w:tbl>
    <w:p>
      <w:pPr>
        <w:spacing w:before="0" w:after="120" w:line="276" w:lineRule="auto"/>
        <w:pBdr>
          <w:bottom w:val="single" w:sz="4" w:space="2" w:color="D9E2D5"/>
        </w:pBdr>
      </w:pPr>
    </w:p>
    <w:p>
      <w:pPr>
        <w:keepNext/>
        <w:spacing w:before="80" w:after="240" w:line="252" w:lineRule="auto"/>
        <w:jc w:val="left"/>
      </w:pPr>
      <w:r>
        <w:rPr>
          <w:rFonts w:ascii="Aptos" w:hAnsi="Aptos"/>
          <w:b/>
          <w:color w:val="4F754F"/>
          <w:sz w:val="34"/>
        </w:rPr>
        <w:t>Gestión de Expedientes Clínicos</w:t>
      </w:r>
    </w:p>
    <w:p>
      <w:pPr>
        <w:spacing w:before="0" w:after="160" w:line="276" w:lineRule="auto"/>
      </w:pPr>
      <w:r>
        <w:rPr>
          <w:rFonts w:ascii="Aptos" w:hAnsi="Aptos"/>
          <w:i/>
          <w:color w:val="606963"/>
          <w:sz w:val="20"/>
        </w:rPr>
        <w:t>Criterios para organizar el sistema externo de expedientes clínicos reales. Este documento no crea expedientes ni carpetas de pacientes dentro del repositorio.</w:t>
      </w:r>
    </w:p>
    <w:p>
      <w:pPr>
        <w:pStyle w:val="Heading1"/>
      </w:pPr>
      <w:r>
        <w:t>1. Principio general</w:t>
      </w:r>
    </w:p>
    <w:p>
      <w:pPr>
        <w:spacing w:before="0" w:after="120" w:line="276" w:lineRule="auto"/>
      </w:pPr>
      <w:r>
        <w:rPr>
          <w:rFonts w:ascii="Aptos" w:hAnsi="Aptos"/>
          <w:i w:val="0"/>
          <w:color w:val="191919"/>
          <w:sz w:val="20"/>
        </w:rPr>
        <w:t>Los expedientes clínicos reales deben conservarse fuera del repositorio Git, en un sistema protegido y adecuado para información sanitaria.</w:t>
      </w:r>
    </w:p>
    <w:p>
      <w:pPr>
        <w:pStyle w:val="Heading1"/>
      </w:pPr>
      <w:r>
        <w:t>2. Estructura mínima del expediente</w:t>
      </w:r>
    </w:p>
    <w:p>
      <w:pPr>
        <w:spacing w:before="0" w:after="120" w:line="276" w:lineRule="auto"/>
      </w:pPr>
      <w:r>
        <w:rPr>
          <w:rFonts w:ascii="Aptos" w:hAnsi="Aptos"/>
          <w:i w:val="0"/>
          <w:color w:val="191919"/>
          <w:sz w:val="20"/>
        </w:rPr>
        <w:t>Cada expediente deberá permitir localizar historia clínica, consentimiento informado, condiciones aceptadas, registros de evolución, informes, comunicaciones relevantes y documentación de cierre.</w:t>
      </w:r>
    </w:p>
    <w:p>
      <w:pPr>
        <w:pStyle w:val="Heading1"/>
      </w:pPr>
      <w:r>
        <w:t>3. Nomenclatura</w:t>
      </w:r>
    </w:p>
    <w:p>
      <w:pPr>
        <w:spacing w:before="0" w:after="120" w:line="276" w:lineRule="auto"/>
      </w:pPr>
      <w:r>
        <w:rPr>
          <w:rFonts w:ascii="Aptos" w:hAnsi="Aptos"/>
          <w:i w:val="0"/>
          <w:color w:val="191919"/>
          <w:sz w:val="20"/>
        </w:rPr>
        <w:t>La nomenclatura deberá evitar exposición innecesaria de datos y facilitar localización interna. Debe definirse antes de almacenar documentación real.</w:t>
      </w:r>
    </w:p>
    <w:p>
      <w:pPr>
        <w:pStyle w:val="Heading1"/>
      </w:pPr>
      <w:r>
        <w:t>4. Separación documental</w:t>
      </w:r>
    </w:p>
    <w:p>
      <w:pPr>
        <w:spacing w:before="0" w:after="120" w:line="276" w:lineRule="auto"/>
      </w:pPr>
      <w:r>
        <w:rPr>
          <w:rFonts w:ascii="Aptos" w:hAnsi="Aptos"/>
          <w:i w:val="0"/>
          <w:color w:val="191919"/>
          <w:sz w:val="20"/>
        </w:rPr>
        <w:t>Los modelos en blanco pertenecen al Sistema Profesional. Los documentos cumplimentados pertenecen al sistema externo de gestión asistencial.</w:t>
      </w:r>
    </w:p>
    <w:p>
      <w:pPr>
        <w:pStyle w:val="Heading1"/>
      </w:pPr>
      <w:r>
        <w:t>5. Custodia y acceso</w:t>
      </w:r>
    </w:p>
    <w:p>
      <w:pPr>
        <w:spacing w:before="0" w:after="120" w:line="276" w:lineRule="auto"/>
      </w:pPr>
      <w:r>
        <w:rPr>
          <w:rFonts w:ascii="Aptos" w:hAnsi="Aptos"/>
          <w:i w:val="0"/>
          <w:color w:val="191919"/>
          <w:sz w:val="20"/>
        </w:rPr>
        <w:t>El acceso a expedientes reales deberá limitarse a personas autorizadas y conforme a las obligaciones de confidencialidad, seguridad y protección de datos.</w:t>
      </w:r>
    </w:p>
    <w:p>
      <w:pPr>
        <w:pStyle w:val="Heading1"/>
      </w:pPr>
      <w:r>
        <w:t>6. Copias de seguridad</w:t>
      </w:r>
    </w:p>
    <w:p>
      <w:pPr>
        <w:spacing w:before="0" w:after="120" w:line="276" w:lineRule="auto"/>
      </w:pPr>
      <w:r>
        <w:rPr>
          <w:rFonts w:ascii="Aptos" w:hAnsi="Aptos"/>
          <w:i w:val="0"/>
          <w:color w:val="191919"/>
          <w:sz w:val="20"/>
        </w:rPr>
        <w:t>El sistema externo deberá contar con medidas de respaldo proporcionadas, seguras y revisables.</w:t>
      </w:r>
    </w:p>
    <w:p>
      <w:pPr>
        <w:pStyle w:val="Heading1"/>
      </w:pPr>
      <w:r>
        <w:t>7. Cierre de expedientes</w:t>
      </w:r>
    </w:p>
    <w:p>
      <w:pPr>
        <w:spacing w:before="0" w:after="120" w:line="276" w:lineRule="auto"/>
      </w:pPr>
      <w:r>
        <w:rPr>
          <w:rFonts w:ascii="Aptos" w:hAnsi="Aptos"/>
          <w:i w:val="0"/>
          <w:color w:val="191919"/>
          <w:sz w:val="20"/>
        </w:rPr>
        <w:t>El cierre deberá documentar fecha, motivo, situación al cierre, recomendaciones y seguimiento previsto cuando proceda.</w:t>
      </w:r>
    </w:p>
    <w:p>
      <w:pPr>
        <w:pStyle w:val="Heading1"/>
      </w:pPr>
      <w:r>
        <w:t>8. Checklist operativo</w:t>
      </w:r>
    </w:p>
    <w:p>
      <w:pPr>
        <w:spacing w:before="0" w:after="40" w:line="252" w:lineRule="auto"/>
      </w:pPr>
      <w:r>
        <w:rPr>
          <w:rFonts w:ascii="Aptos" w:hAnsi="Aptos"/>
          <w:color w:val="191919"/>
          <w:sz w:val="19"/>
        </w:rPr>
        <w:t>□ El expediente se almacena fuera del repositorio Git.</w:t>
      </w:r>
    </w:p>
    <w:p>
      <w:pPr>
        <w:spacing w:before="0" w:after="40" w:line="252" w:lineRule="auto"/>
      </w:pPr>
      <w:r>
        <w:rPr>
          <w:rFonts w:ascii="Aptos" w:hAnsi="Aptos"/>
          <w:color w:val="191919"/>
          <w:sz w:val="19"/>
        </w:rPr>
        <w:t>□ No contiene datos innecesarios.</w:t>
      </w:r>
    </w:p>
    <w:p>
      <w:pPr>
        <w:spacing w:before="0" w:after="40" w:line="252" w:lineRule="auto"/>
      </w:pPr>
      <w:r>
        <w:rPr>
          <w:rFonts w:ascii="Aptos" w:hAnsi="Aptos"/>
          <w:color w:val="191919"/>
          <w:sz w:val="19"/>
        </w:rPr>
        <w:t>□ Incluye consentimiento e información administrativa necesaria.</w:t>
      </w:r>
    </w:p>
    <w:p>
      <w:pPr>
        <w:spacing w:before="0" w:after="40" w:line="252" w:lineRule="auto"/>
      </w:pPr>
      <w:r>
        <w:rPr>
          <w:rFonts w:ascii="Aptos" w:hAnsi="Aptos"/>
          <w:color w:val="191919"/>
          <w:sz w:val="19"/>
        </w:rPr>
        <w:t>□ La evolución clínica está registrada de forma proporcionada.</w:t>
      </w:r>
    </w:p>
    <w:p>
      <w:pPr>
        <w:spacing w:before="0" w:after="40" w:line="252" w:lineRule="auto"/>
      </w:pPr>
      <w:r>
        <w:rPr>
          <w:rFonts w:ascii="Aptos" w:hAnsi="Aptos"/>
          <w:color w:val="191919"/>
          <w:sz w:val="19"/>
        </w:rPr>
        <w:t>□ Los accesos están limitados.</w:t>
      </w:r>
    </w:p>
    <w:p>
      <w:pPr>
        <w:spacing w:before="0" w:after="40" w:line="252" w:lineRule="auto"/>
      </w:pPr>
      <w:r>
        <w:rPr>
          <w:rFonts w:ascii="Aptos" w:hAnsi="Aptos"/>
          <w:color w:val="191919"/>
          <w:sz w:val="19"/>
        </w:rPr>
        <w:t>□ Existe criterio de copia de seguridad.</w:t>
      </w:r>
    </w:p>
    <w:p>
      <w:pPr>
        <w:spacing w:before="0" w:after="40" w:line="252" w:lineRule="auto"/>
      </w:pPr>
      <w:r>
        <w:rPr>
          <w:rFonts w:ascii="Aptos" w:hAnsi="Aptos"/>
          <w:color w:val="191919"/>
          <w:sz w:val="19"/>
        </w:rPr>
        <w:t>□ El cierre queda documentado cuando procede.</w:t>
      </w:r>
    </w:p>
    <w:tbl>
      <w:tblPr>
        <w:tblW w:type="dxa" w:w="9000"/>
        <w:jc w:val="center"/>
        <w:tblLook w:firstColumn="1" w:firstRow="1" w:lastColumn="0" w:lastRow="0" w:noHBand="0" w:noVBand="1" w:val="04A0"/>
        <w:tblBorders>
          <w:top w:val="single" w:sz="4" w:space="0" w:color="D9E4D3"/>
          <w:left w:val="single" w:sz="4" w:space="0" w:color="D9E4D3"/>
          <w:bottom w:val="single" w:sz="4" w:space="0" w:color="D9E4D3"/>
          <w:right w:val="single" w:sz="4" w:space="0" w:color="D9E4D3"/>
          <w:insideH w:val="single" w:sz="4" w:space="0" w:color="D9E4D3"/>
          <w:insideV w:val="single" w:sz="4" w:space="0" w:color="D9E4D3"/>
        </w:tblBorders>
        <w:tblLayout w:type="fixed"/>
      </w:tblPr>
      <w:tblGrid>
        <w:gridCol w:w="9000"/>
      </w:tblGrid>
      <w:tr>
        <w:tc>
          <w:tcPr>
            <w:tcW w:type="dxa" w:w="9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4EA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i/>
                <w:color w:val="606963"/>
                <w:sz w:val="18"/>
              </w:rPr>
              <w:t>No crear carpetas de pacientes ni expedientes reales dentro de este repositorio.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935" w:right="1106" w:bottom="935" w:left="1106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06963"/>
        <w:sz w:val="17"/>
      </w:rPr>
      <w:t>Esencia &amp; Cambio · Psicología General Sanitaria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color w:val="19191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4F754F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ptos" w:hAnsi="Aptos"/>
      <w:b/>
      <w:bCs/>
      <w:color w:val="4F754F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Aptos" w:hAnsi="Aptos"/>
      <w:b/>
      <w:bCs/>
      <w:color w:val="606963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