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78116" w14:textId="77777777" w:rsidR="00394013" w:rsidRDefault="00394013" w:rsidP="00394013">
      <w:pPr>
        <w:spacing w:before="1400"/>
        <w:jc w:val="center"/>
      </w:pPr>
      <w:r>
        <w:rPr>
          <w:rFonts w:ascii="Aptos Display" w:hAnsi="Aptos Display"/>
          <w:b/>
          <w:color w:val="183B56"/>
          <w:sz w:val="52"/>
        </w:rPr>
        <w:t>VULNERABILITY ASSESSMENT REPORT</w:t>
      </w:r>
    </w:p>
    <w:p w14:paraId="54F0089A" w14:textId="77777777" w:rsidR="00394013" w:rsidRDefault="00394013" w:rsidP="00394013">
      <w:pPr>
        <w:jc w:val="center"/>
      </w:pPr>
      <w:r>
        <w:rPr>
          <w:rFonts w:ascii="Aptos Display" w:hAnsi="Aptos Display"/>
          <w:b/>
          <w:color w:val="087E8B"/>
          <w:sz w:val="42"/>
        </w:rPr>
        <w:t>Insecure Direct Object Reference (IDOR)</w:t>
      </w:r>
      <w:r>
        <w:rPr>
          <w:rFonts w:ascii="Aptos Display" w:hAnsi="Aptos Display"/>
          <w:b/>
          <w:color w:val="087E8B"/>
          <w:sz w:val="42"/>
        </w:rPr>
        <w:br/>
        <w:t>in Basket Retrieval</w:t>
      </w:r>
    </w:p>
    <w:p w14:paraId="1786CD18" w14:textId="77777777" w:rsidR="00394013" w:rsidRDefault="00394013" w:rsidP="00394013">
      <w:pPr>
        <w:jc w:val="center"/>
        <w:rPr>
          <w:b/>
          <w:color w:val="2A6F97"/>
          <w:sz w:val="30"/>
        </w:rPr>
      </w:pPr>
      <w:r>
        <w:rPr>
          <w:b/>
          <w:color w:val="2A6F97"/>
          <w:sz w:val="30"/>
        </w:rPr>
        <w:t>OWASP Juice Shop</w:t>
      </w:r>
    </w:p>
    <w:p w14:paraId="2976E0B2" w14:textId="77777777" w:rsidR="00394013" w:rsidRPr="00766E15" w:rsidRDefault="00394013" w:rsidP="00394013">
      <w:pPr>
        <w:jc w:val="center"/>
        <w:rPr>
          <w:i/>
          <w:iCs/>
          <w:color w:val="808080" w:themeColor="background1" w:themeShade="80"/>
          <w:sz w:val="20"/>
          <w:szCs w:val="20"/>
        </w:rPr>
      </w:pPr>
      <w:r w:rsidRPr="00766E15">
        <w:rPr>
          <w:i/>
          <w:iCs/>
          <w:color w:val="808080" w:themeColor="background1" w:themeShade="80"/>
          <w:sz w:val="20"/>
          <w:szCs w:val="20"/>
        </w:rPr>
        <w:t>Find it. Prove it safely. Explain it like a professional.</w:t>
      </w:r>
    </w:p>
    <w:p w14:paraId="5096D15F" w14:textId="77777777" w:rsidR="00394013" w:rsidRDefault="00394013" w:rsidP="00394013">
      <w:pPr>
        <w:jc w:val="center"/>
      </w:pPr>
      <w:r>
        <w:rPr>
          <w:color w:val="087E8B"/>
          <w:sz w:val="24"/>
        </w:rPr>
        <w:t>━━━━━━━━━━━━━━━━━━━━━━━━━━━━━━━━━━━━</w:t>
      </w:r>
    </w:p>
    <w:p w14:paraId="44EB1901" w14:textId="77777777" w:rsidR="00394013" w:rsidRDefault="00394013" w:rsidP="00394013">
      <w:pPr>
        <w:spacing w:before="180"/>
        <w:rPr>
          <w:b/>
          <w:bCs/>
          <w:color w:val="646464"/>
          <w:sz w:val="20"/>
        </w:rPr>
      </w:pPr>
    </w:p>
    <w:p w14:paraId="0A2B1FFF" w14:textId="77777777" w:rsidR="00394013" w:rsidRPr="00456C27" w:rsidRDefault="00394013" w:rsidP="00394013">
      <w:pPr>
        <w:spacing w:before="180"/>
        <w:rPr>
          <w:rFonts w:cs="Times New Roman"/>
          <w:b/>
          <w:bCs/>
          <w:color w:val="183B56"/>
          <w:sz w:val="20"/>
        </w:rPr>
      </w:pPr>
      <w:r w:rsidRPr="00456C27">
        <w:rPr>
          <w:rFonts w:cs="Times New Roman"/>
          <w:b/>
          <w:bCs/>
          <w:color w:val="646464"/>
          <w:sz w:val="20"/>
        </w:rPr>
        <w:t>Case File</w:t>
      </w:r>
      <w:proofErr w:type="gramStart"/>
      <w:r w:rsidRPr="00456C27">
        <w:rPr>
          <w:rFonts w:cs="Times New Roman"/>
          <w:b/>
          <w:bCs/>
          <w:color w:val="646464"/>
          <w:sz w:val="20"/>
        </w:rPr>
        <w:t xml:space="preserve">: </w:t>
      </w:r>
      <w:r w:rsidRPr="00456C27">
        <w:rPr>
          <w:rFonts w:cs="Times New Roman"/>
          <w:b/>
          <w:bCs/>
          <w:color w:val="646464"/>
          <w:sz w:val="20"/>
        </w:rPr>
        <w:tab/>
        <w:t xml:space="preserve"> </w:t>
      </w:r>
      <w:r w:rsidRPr="00456C27">
        <w:rPr>
          <w:rFonts w:cs="Times New Roman"/>
          <w:b/>
          <w:bCs/>
          <w:color w:val="646464"/>
          <w:sz w:val="20"/>
        </w:rPr>
        <w:tab/>
      </w:r>
      <w:r w:rsidRPr="00456C27">
        <w:rPr>
          <w:rFonts w:cs="Times New Roman"/>
          <w:b/>
          <w:bCs/>
          <w:color w:val="183B56"/>
          <w:sz w:val="20"/>
        </w:rPr>
        <w:t>CA</w:t>
      </w:r>
      <w:proofErr w:type="gramEnd"/>
      <w:r w:rsidRPr="00456C27">
        <w:rPr>
          <w:rFonts w:cs="Times New Roman"/>
          <w:b/>
          <w:bCs/>
          <w:color w:val="183B56"/>
          <w:sz w:val="20"/>
        </w:rPr>
        <w:t>-WEB-03</w:t>
      </w:r>
    </w:p>
    <w:p w14:paraId="33772AF1" w14:textId="77777777" w:rsidR="00394013" w:rsidRPr="00456C27" w:rsidRDefault="00394013" w:rsidP="00394013">
      <w:pPr>
        <w:spacing w:before="180"/>
        <w:rPr>
          <w:rFonts w:cs="Times New Roman"/>
          <w:b/>
          <w:bCs/>
          <w:color w:val="183B56"/>
          <w:sz w:val="20"/>
        </w:rPr>
      </w:pPr>
      <w:r w:rsidRPr="00456C27">
        <w:rPr>
          <w:rFonts w:cs="Times New Roman"/>
          <w:b/>
          <w:bCs/>
          <w:color w:val="646464"/>
          <w:sz w:val="20"/>
        </w:rPr>
        <w:t>Intern ID</w:t>
      </w:r>
      <w:proofErr w:type="gramStart"/>
      <w:r w:rsidRPr="00456C27">
        <w:rPr>
          <w:rFonts w:cs="Times New Roman"/>
          <w:b/>
          <w:bCs/>
          <w:color w:val="646464"/>
          <w:sz w:val="20"/>
        </w:rPr>
        <w:t xml:space="preserve">:  </w:t>
      </w:r>
      <w:r w:rsidRPr="00456C27">
        <w:rPr>
          <w:rFonts w:cs="Times New Roman"/>
          <w:b/>
          <w:bCs/>
          <w:color w:val="646464"/>
          <w:sz w:val="20"/>
        </w:rPr>
        <w:tab/>
      </w:r>
      <w:r w:rsidRPr="00456C27">
        <w:rPr>
          <w:rFonts w:cs="Times New Roman"/>
          <w:b/>
          <w:bCs/>
          <w:color w:val="646464"/>
          <w:sz w:val="20"/>
        </w:rPr>
        <w:tab/>
      </w:r>
      <w:r w:rsidRPr="00456C27">
        <w:rPr>
          <w:rFonts w:cs="Times New Roman"/>
          <w:b/>
          <w:bCs/>
          <w:color w:val="183B56"/>
          <w:sz w:val="20"/>
        </w:rPr>
        <w:t>CA0145</w:t>
      </w:r>
      <w:proofErr w:type="gramEnd"/>
    </w:p>
    <w:p w14:paraId="7DB726F4" w14:textId="77777777" w:rsidR="00394013" w:rsidRPr="00456C27" w:rsidRDefault="00394013" w:rsidP="00394013">
      <w:pPr>
        <w:spacing w:before="180"/>
        <w:rPr>
          <w:rFonts w:cs="Times New Roman"/>
          <w:b/>
          <w:bCs/>
        </w:rPr>
      </w:pPr>
      <w:r w:rsidRPr="00456C27">
        <w:rPr>
          <w:rFonts w:cs="Times New Roman"/>
          <w:b/>
          <w:bCs/>
          <w:color w:val="646464"/>
          <w:sz w:val="20"/>
        </w:rPr>
        <w:t>Target application</w:t>
      </w:r>
      <w:proofErr w:type="gramStart"/>
      <w:r w:rsidRPr="00456C27">
        <w:rPr>
          <w:rFonts w:cs="Times New Roman"/>
          <w:b/>
          <w:bCs/>
          <w:color w:val="646464"/>
          <w:sz w:val="20"/>
        </w:rPr>
        <w:t xml:space="preserve">: </w:t>
      </w:r>
      <w:r w:rsidRPr="00456C27">
        <w:rPr>
          <w:rFonts w:cs="Times New Roman"/>
          <w:b/>
          <w:bCs/>
          <w:color w:val="646464"/>
          <w:sz w:val="20"/>
        </w:rPr>
        <w:tab/>
      </w:r>
      <w:r w:rsidRPr="00456C27">
        <w:rPr>
          <w:rFonts w:cs="Times New Roman"/>
          <w:b/>
          <w:bCs/>
          <w:color w:val="183B56"/>
          <w:sz w:val="20"/>
        </w:rPr>
        <w:t>OWASP</w:t>
      </w:r>
      <w:proofErr w:type="gramEnd"/>
      <w:r w:rsidRPr="00456C27">
        <w:rPr>
          <w:rFonts w:cs="Times New Roman"/>
          <w:b/>
          <w:bCs/>
          <w:color w:val="183B56"/>
          <w:sz w:val="20"/>
        </w:rPr>
        <w:t xml:space="preserve"> Juice Shop (local instance)</w:t>
      </w:r>
    </w:p>
    <w:p w14:paraId="765E62D0" w14:textId="77777777" w:rsidR="00394013" w:rsidRPr="00456C27" w:rsidRDefault="00394013" w:rsidP="00394013">
      <w:pPr>
        <w:spacing w:before="180"/>
        <w:rPr>
          <w:rFonts w:cs="Times New Roman"/>
          <w:b/>
          <w:bCs/>
        </w:rPr>
      </w:pPr>
      <w:r w:rsidRPr="00456C27">
        <w:rPr>
          <w:rFonts w:cs="Times New Roman"/>
          <w:b/>
          <w:bCs/>
          <w:color w:val="646464"/>
          <w:sz w:val="20"/>
        </w:rPr>
        <w:t>Tested endpoint</w:t>
      </w:r>
      <w:proofErr w:type="gramStart"/>
      <w:r w:rsidRPr="00456C27">
        <w:rPr>
          <w:rFonts w:cs="Times New Roman"/>
          <w:b/>
          <w:bCs/>
          <w:color w:val="646464"/>
          <w:sz w:val="20"/>
        </w:rPr>
        <w:t xml:space="preserve">:  </w:t>
      </w:r>
      <w:r w:rsidRPr="00456C27">
        <w:rPr>
          <w:rFonts w:cs="Times New Roman"/>
          <w:b/>
          <w:bCs/>
          <w:color w:val="646464"/>
          <w:sz w:val="20"/>
        </w:rPr>
        <w:tab/>
      </w:r>
      <w:proofErr w:type="gramEnd"/>
      <w:r w:rsidRPr="00456C27">
        <w:rPr>
          <w:rFonts w:cs="Times New Roman"/>
          <w:b/>
          <w:bCs/>
          <w:color w:val="183B56"/>
          <w:sz w:val="20"/>
        </w:rPr>
        <w:t>GET /rest/</w:t>
      </w:r>
      <w:proofErr w:type="gramStart"/>
      <w:r w:rsidRPr="00456C27">
        <w:rPr>
          <w:rFonts w:cs="Times New Roman"/>
          <w:b/>
          <w:bCs/>
          <w:color w:val="183B56"/>
          <w:sz w:val="20"/>
        </w:rPr>
        <w:t>basket/{</w:t>
      </w:r>
      <w:proofErr w:type="gramEnd"/>
      <w:r w:rsidRPr="00456C27">
        <w:rPr>
          <w:rFonts w:cs="Times New Roman"/>
          <w:b/>
          <w:bCs/>
          <w:color w:val="183B56"/>
          <w:sz w:val="20"/>
        </w:rPr>
        <w:t>id}</w:t>
      </w:r>
    </w:p>
    <w:p w14:paraId="1E01AF4A" w14:textId="77777777" w:rsidR="00394013" w:rsidRPr="00456C27" w:rsidRDefault="00394013" w:rsidP="00394013">
      <w:pPr>
        <w:spacing w:before="180"/>
        <w:rPr>
          <w:rFonts w:cs="Times New Roman"/>
          <w:b/>
          <w:bCs/>
          <w:color w:val="183B56"/>
          <w:sz w:val="20"/>
        </w:rPr>
      </w:pPr>
      <w:r w:rsidRPr="00456C27">
        <w:rPr>
          <w:rFonts w:cs="Times New Roman"/>
          <w:b/>
          <w:bCs/>
          <w:color w:val="646464"/>
          <w:sz w:val="20"/>
        </w:rPr>
        <w:t>Deliverables</w:t>
      </w:r>
      <w:proofErr w:type="gramStart"/>
      <w:r w:rsidRPr="00456C27">
        <w:rPr>
          <w:rFonts w:cs="Times New Roman"/>
          <w:b/>
          <w:bCs/>
          <w:color w:val="646464"/>
          <w:sz w:val="20"/>
        </w:rPr>
        <w:t xml:space="preserve">:  </w:t>
      </w:r>
      <w:r w:rsidRPr="00456C27">
        <w:rPr>
          <w:rFonts w:cs="Times New Roman"/>
          <w:b/>
          <w:bCs/>
          <w:color w:val="646464"/>
          <w:sz w:val="20"/>
        </w:rPr>
        <w:tab/>
      </w:r>
      <w:r w:rsidRPr="00456C27">
        <w:rPr>
          <w:rFonts w:cs="Times New Roman"/>
          <w:b/>
          <w:bCs/>
          <w:color w:val="646464"/>
          <w:sz w:val="20"/>
        </w:rPr>
        <w:tab/>
      </w:r>
      <w:r w:rsidRPr="00456C27">
        <w:rPr>
          <w:rFonts w:cs="Times New Roman"/>
          <w:b/>
          <w:bCs/>
          <w:color w:val="183B56"/>
          <w:sz w:val="20"/>
        </w:rPr>
        <w:t>Vulnerability</w:t>
      </w:r>
      <w:proofErr w:type="gramEnd"/>
      <w:r w:rsidRPr="00456C27">
        <w:rPr>
          <w:rFonts w:cs="Times New Roman"/>
          <w:b/>
          <w:bCs/>
          <w:color w:val="183B56"/>
          <w:sz w:val="20"/>
        </w:rPr>
        <w:t xml:space="preserve"> Assessment Report  </w:t>
      </w:r>
    </w:p>
    <w:p w14:paraId="41AE68BF" w14:textId="77777777" w:rsidR="00394013" w:rsidRPr="00456C27" w:rsidRDefault="00394013" w:rsidP="00394013">
      <w:pPr>
        <w:spacing w:before="180"/>
        <w:ind w:left="1440" w:firstLine="720"/>
        <w:rPr>
          <w:rFonts w:cs="Times New Roman"/>
          <w:b/>
          <w:bCs/>
          <w:color w:val="183B56"/>
          <w:sz w:val="20"/>
        </w:rPr>
      </w:pPr>
      <w:r w:rsidRPr="00456C27">
        <w:rPr>
          <w:rFonts w:cs="Times New Roman"/>
          <w:b/>
          <w:bCs/>
          <w:color w:val="183B56"/>
          <w:sz w:val="20"/>
        </w:rPr>
        <w:t xml:space="preserve">Proof of Concept </w:t>
      </w:r>
    </w:p>
    <w:p w14:paraId="5AF5506F" w14:textId="77777777" w:rsidR="00394013" w:rsidRPr="00456C27" w:rsidRDefault="00394013" w:rsidP="00394013">
      <w:pPr>
        <w:spacing w:before="180"/>
        <w:ind w:left="1440" w:firstLine="720"/>
        <w:rPr>
          <w:rFonts w:cs="Times New Roman"/>
          <w:b/>
          <w:bCs/>
          <w:color w:val="183B56"/>
          <w:sz w:val="20"/>
        </w:rPr>
      </w:pPr>
      <w:r w:rsidRPr="00456C27">
        <w:rPr>
          <w:rFonts w:cs="Times New Roman"/>
          <w:b/>
          <w:bCs/>
          <w:color w:val="183B56"/>
          <w:sz w:val="20"/>
        </w:rPr>
        <w:t xml:space="preserve">Risk Rating </w:t>
      </w:r>
    </w:p>
    <w:p w14:paraId="101BA57E" w14:textId="77777777" w:rsidR="00394013" w:rsidRPr="00456C27" w:rsidRDefault="00394013" w:rsidP="00394013">
      <w:pPr>
        <w:spacing w:before="180"/>
        <w:ind w:left="1440" w:firstLine="720"/>
        <w:rPr>
          <w:rFonts w:cs="Times New Roman"/>
          <w:b/>
          <w:bCs/>
        </w:rPr>
      </w:pPr>
      <w:r w:rsidRPr="00456C27">
        <w:rPr>
          <w:rFonts w:cs="Times New Roman"/>
          <w:b/>
          <w:bCs/>
          <w:color w:val="183B56"/>
          <w:sz w:val="20"/>
        </w:rPr>
        <w:t>Remediation Recommendations</w:t>
      </w:r>
    </w:p>
    <w:p w14:paraId="0FA88D39" w14:textId="77777777" w:rsidR="00394013" w:rsidRDefault="00394013" w:rsidP="00394013">
      <w:pPr>
        <w:pBdr>
          <w:bottom w:val="single" w:sz="6" w:space="8" w:color="C9CCD1"/>
        </w:pBdr>
        <w:spacing w:before="360" w:after="0"/>
        <w:jc w:val="center"/>
        <w:rPr>
          <w:b/>
          <w:bCs/>
        </w:rPr>
      </w:pPr>
    </w:p>
    <w:p w14:paraId="503E6AE5" w14:textId="77777777" w:rsidR="00394013" w:rsidRPr="001B3577" w:rsidRDefault="00394013" w:rsidP="00394013">
      <w:pPr>
        <w:pBdr>
          <w:bottom w:val="single" w:sz="6" w:space="8" w:color="C9CCD1"/>
        </w:pBdr>
        <w:spacing w:before="360" w:after="0"/>
        <w:jc w:val="center"/>
        <w:rPr>
          <w:b/>
          <w:bCs/>
        </w:rPr>
      </w:pPr>
    </w:p>
    <w:p w14:paraId="0597ACF6" w14:textId="77777777" w:rsidR="00394013" w:rsidRPr="00766E15" w:rsidRDefault="00394013" w:rsidP="00394013">
      <w:pPr>
        <w:spacing w:before="320" w:after="0"/>
        <w:jc w:val="center"/>
        <w:rPr>
          <w:rFonts w:ascii="Times New Roman" w:hAnsi="Times New Roman" w:cs="Times New Roman"/>
        </w:rPr>
      </w:pPr>
      <w:r>
        <w:rPr>
          <w:color w:val="646464"/>
          <w:sz w:val="18"/>
        </w:rPr>
        <w:t>PREPARED BY</w:t>
      </w:r>
      <w:proofErr w:type="gramStart"/>
      <w:r>
        <w:rPr>
          <w:color w:val="646464"/>
          <w:sz w:val="18"/>
        </w:rPr>
        <w:t xml:space="preserve">:  </w:t>
      </w:r>
      <w:r w:rsidRPr="00766E15">
        <w:rPr>
          <w:rFonts w:ascii="Times New Roman" w:hAnsi="Times New Roman" w:cs="Times New Roman"/>
          <w:b/>
          <w:color w:val="183B56"/>
          <w:sz w:val="24"/>
        </w:rPr>
        <w:t>Nataliah</w:t>
      </w:r>
      <w:proofErr w:type="gramEnd"/>
      <w:r w:rsidRPr="00766E15">
        <w:rPr>
          <w:rFonts w:ascii="Times New Roman" w:hAnsi="Times New Roman" w:cs="Times New Roman"/>
          <w:b/>
          <w:color w:val="183B56"/>
          <w:sz w:val="24"/>
        </w:rPr>
        <w:t xml:space="preserve"> Alcala-Maharaj</w:t>
      </w:r>
    </w:p>
    <w:p w14:paraId="26D2FDB6" w14:textId="77777777" w:rsidR="00394013" w:rsidRDefault="00394013" w:rsidP="00394013">
      <w:pPr>
        <w:spacing w:before="40"/>
        <w:jc w:val="center"/>
      </w:pPr>
      <w:r>
        <w:rPr>
          <w:i/>
          <w:color w:val="5F5F5F"/>
          <w:sz w:val="18"/>
        </w:rPr>
        <w:t>Web App Security — Vulnerability Assessment &amp; Professional Reporting, Project 03</w:t>
      </w:r>
    </w:p>
    <w:p w14:paraId="075BE645" w14:textId="77777777" w:rsidR="00394013" w:rsidRDefault="00394013" w:rsidP="00394013">
      <w:pPr>
        <w:spacing w:before="500"/>
        <w:jc w:val="center"/>
      </w:pPr>
    </w:p>
    <w:p w14:paraId="0C8302F2" w14:textId="77777777" w:rsidR="00A61E33" w:rsidRDefault="00A61E33" w:rsidP="00394013">
      <w:pPr>
        <w:spacing w:before="320"/>
        <w:jc w:val="center"/>
        <w:rPr>
          <w:i/>
          <w:color w:val="5F5F5F"/>
          <w:sz w:val="18"/>
        </w:rPr>
      </w:pPr>
    </w:p>
    <w:p w14:paraId="48E2C2A7" w14:textId="1914AB79" w:rsidR="00394013" w:rsidRDefault="00394013" w:rsidP="00394013">
      <w:pPr>
        <w:spacing w:before="320"/>
        <w:jc w:val="center"/>
      </w:pPr>
      <w:r>
        <w:rPr>
          <w:i/>
          <w:color w:val="5F5F5F"/>
          <w:sz w:val="18"/>
        </w:rPr>
        <w:t>Testing was performed only against a locally hosted, intentionally vulnerable application. No external or production systems were assessed.</w:t>
      </w:r>
    </w:p>
    <w:p w14:paraId="3E526D9D" w14:textId="77777777" w:rsidR="00394013" w:rsidRDefault="00394013" w:rsidP="00394013">
      <w:r>
        <w:br w:type="page"/>
      </w:r>
    </w:p>
    <w:p w14:paraId="581E25A0" w14:textId="0CF32A30" w:rsidR="002B0063" w:rsidRDefault="00000000" w:rsidP="00394013">
      <w:r>
        <w:rPr>
          <w:b/>
          <w:sz w:val="28"/>
        </w:rPr>
        <w:lastRenderedPageBreak/>
        <w:t>Table of Contents</w:t>
      </w:r>
    </w:p>
    <w:p w14:paraId="179652D4" w14:textId="77777777" w:rsidR="002B0063" w:rsidRDefault="00000000">
      <w:pPr>
        <w:tabs>
          <w:tab w:val="right" w:leader="dot" w:pos="10080"/>
        </w:tabs>
      </w:pPr>
      <w:r>
        <w:t>1. Document Control</w:t>
      </w:r>
      <w:r>
        <w:tab/>
        <w:t>3</w:t>
      </w:r>
    </w:p>
    <w:p w14:paraId="7CF45179" w14:textId="77777777" w:rsidR="002B0063" w:rsidRDefault="00000000">
      <w:pPr>
        <w:tabs>
          <w:tab w:val="right" w:leader="dot" w:pos="10080"/>
        </w:tabs>
      </w:pPr>
      <w:r>
        <w:t>2. Executive Summary</w:t>
      </w:r>
      <w:r>
        <w:tab/>
        <w:t>3</w:t>
      </w:r>
    </w:p>
    <w:p w14:paraId="43E69395" w14:textId="77777777" w:rsidR="002B0063" w:rsidRDefault="00000000">
      <w:pPr>
        <w:tabs>
          <w:tab w:val="right" w:leader="dot" w:pos="10080"/>
        </w:tabs>
      </w:pPr>
      <w:r>
        <w:t>3. Finding Summary</w:t>
      </w:r>
      <w:r>
        <w:tab/>
        <w:t>3</w:t>
      </w:r>
    </w:p>
    <w:p w14:paraId="7FB88215" w14:textId="415F4758" w:rsidR="002B0063" w:rsidRDefault="00000000">
      <w:pPr>
        <w:tabs>
          <w:tab w:val="right" w:leader="dot" w:pos="10080"/>
        </w:tabs>
      </w:pPr>
      <w:r>
        <w:t>4. Scope and Methodology</w:t>
      </w:r>
      <w:r>
        <w:tab/>
      </w:r>
      <w:r w:rsidR="0020432D">
        <w:t>3 - 4</w:t>
      </w:r>
    </w:p>
    <w:p w14:paraId="6463605B" w14:textId="7605914C" w:rsidR="002B0063" w:rsidRDefault="00000000">
      <w:pPr>
        <w:tabs>
          <w:tab w:val="right" w:leader="dot" w:pos="10080"/>
        </w:tabs>
      </w:pPr>
      <w:r>
        <w:t>5. Detailed Finding - WEB-01</w:t>
      </w:r>
      <w:r>
        <w:tab/>
        <w:t>5</w:t>
      </w:r>
      <w:r w:rsidR="0020432D">
        <w:t xml:space="preserve"> - 6</w:t>
      </w:r>
    </w:p>
    <w:p w14:paraId="53745F4B" w14:textId="77777777" w:rsidR="002B0063" w:rsidRDefault="00000000">
      <w:pPr>
        <w:tabs>
          <w:tab w:val="right" w:leader="dot" w:pos="10080"/>
        </w:tabs>
      </w:pPr>
      <w:r>
        <w:t>6. Proof of Concept</w:t>
      </w:r>
      <w:r>
        <w:tab/>
        <w:t>6</w:t>
      </w:r>
    </w:p>
    <w:p w14:paraId="3278B117" w14:textId="09C7644B" w:rsidR="002B0063" w:rsidRDefault="00000000">
      <w:pPr>
        <w:tabs>
          <w:tab w:val="right" w:leader="dot" w:pos="10080"/>
        </w:tabs>
      </w:pPr>
      <w:r>
        <w:t>7. Evidence</w:t>
      </w:r>
      <w:r>
        <w:tab/>
      </w:r>
      <w:r w:rsidR="0020432D">
        <w:t>7 - 9</w:t>
      </w:r>
    </w:p>
    <w:p w14:paraId="5B2E87F6" w14:textId="77DD5C71" w:rsidR="002B0063" w:rsidRDefault="00000000">
      <w:pPr>
        <w:tabs>
          <w:tab w:val="right" w:leader="dot" w:pos="10080"/>
        </w:tabs>
      </w:pPr>
      <w:r>
        <w:t>8. Remediation Recommendations</w:t>
      </w:r>
      <w:r>
        <w:tab/>
        <w:t>1</w:t>
      </w:r>
      <w:r w:rsidR="0020432D">
        <w:t>0 - 11</w:t>
      </w:r>
    </w:p>
    <w:p w14:paraId="2322C295" w14:textId="12AB4FA3" w:rsidR="002B0063" w:rsidRDefault="00000000">
      <w:pPr>
        <w:tabs>
          <w:tab w:val="right" w:leader="dot" w:pos="10080"/>
        </w:tabs>
      </w:pPr>
      <w:r>
        <w:t>9. Conclusion</w:t>
      </w:r>
      <w:r>
        <w:tab/>
        <w:t>1</w:t>
      </w:r>
      <w:r w:rsidR="0020432D">
        <w:t>1</w:t>
      </w:r>
    </w:p>
    <w:p w14:paraId="078F9C48" w14:textId="10E40BB0" w:rsidR="002B0063" w:rsidRDefault="00000000">
      <w:pPr>
        <w:tabs>
          <w:tab w:val="right" w:leader="dot" w:pos="10080"/>
        </w:tabs>
      </w:pPr>
      <w:r>
        <w:t>10. References</w:t>
      </w:r>
      <w:r>
        <w:tab/>
        <w:t>1</w:t>
      </w:r>
      <w:r w:rsidR="0020432D">
        <w:t>1</w:t>
      </w:r>
    </w:p>
    <w:p w14:paraId="2B6B3AF1" w14:textId="77777777" w:rsidR="002B0063" w:rsidRDefault="00000000">
      <w:r>
        <w:br w:type="page"/>
      </w:r>
    </w:p>
    <w:p w14:paraId="4BC0FFA6" w14:textId="77777777" w:rsidR="002B0063" w:rsidRDefault="00000000">
      <w:pPr>
        <w:pStyle w:val="Heading1"/>
      </w:pPr>
      <w:r>
        <w:lastRenderedPageBreak/>
        <w:t>1. Document Control</w:t>
      </w:r>
    </w:p>
    <w:tbl>
      <w:tblPr>
        <w:tblW w:w="0" w:type="auto"/>
        <w:jc w:val="center"/>
        <w:tblLayout w:type="fixed"/>
        <w:tblLook w:val="04A0" w:firstRow="1" w:lastRow="0" w:firstColumn="1" w:lastColumn="0" w:noHBand="0" w:noVBand="1"/>
      </w:tblPr>
      <w:tblGrid>
        <w:gridCol w:w="2592"/>
        <w:gridCol w:w="6912"/>
      </w:tblGrid>
      <w:tr w:rsidR="002B0063" w14:paraId="60F3D031" w14:textId="77777777">
        <w:trPr>
          <w:jc w:val="center"/>
        </w:trPr>
        <w:tc>
          <w:tcPr>
            <w:tcW w:w="2592" w:type="dxa"/>
            <w:tcBorders>
              <w:top w:val="single" w:sz="4" w:space="0" w:color="D9E1E8"/>
              <w:left w:val="single" w:sz="4" w:space="0" w:color="D9E1E8"/>
              <w:bottom w:val="single" w:sz="4" w:space="0" w:color="D9E1E8"/>
              <w:right w:val="single" w:sz="4" w:space="0" w:color="D9E1E8"/>
            </w:tcBorders>
            <w:shd w:val="clear" w:color="auto" w:fill="EAF5F8"/>
            <w:tcMar>
              <w:top w:w="100" w:type="dxa"/>
              <w:left w:w="120" w:type="dxa"/>
              <w:bottom w:w="100" w:type="dxa"/>
              <w:right w:w="120" w:type="dxa"/>
            </w:tcMar>
            <w:vAlign w:val="center"/>
          </w:tcPr>
          <w:p w14:paraId="461C63D0" w14:textId="77777777" w:rsidR="002B0063" w:rsidRDefault="00000000">
            <w:pPr>
              <w:spacing w:after="0"/>
            </w:pPr>
            <w:r>
              <w:rPr>
                <w:b/>
                <w:color w:val="183B56"/>
              </w:rPr>
              <w:t>Report title</w:t>
            </w:r>
          </w:p>
        </w:tc>
        <w:tc>
          <w:tcPr>
            <w:tcW w:w="6912" w:type="dxa"/>
            <w:tcBorders>
              <w:top w:val="single" w:sz="4" w:space="0" w:color="D9E1E8"/>
              <w:left w:val="single" w:sz="4" w:space="0" w:color="D9E1E8"/>
              <w:bottom w:val="single" w:sz="4" w:space="0" w:color="D9E1E8"/>
              <w:right w:val="single" w:sz="4" w:space="0" w:color="D9E1E8"/>
            </w:tcBorders>
            <w:tcMar>
              <w:top w:w="100" w:type="dxa"/>
              <w:left w:w="120" w:type="dxa"/>
              <w:bottom w:w="100" w:type="dxa"/>
              <w:right w:w="120" w:type="dxa"/>
            </w:tcMar>
            <w:vAlign w:val="center"/>
          </w:tcPr>
          <w:p w14:paraId="4A2DFA9A" w14:textId="77777777" w:rsidR="002B0063" w:rsidRDefault="00000000">
            <w:pPr>
              <w:spacing w:after="0"/>
            </w:pPr>
            <w:r>
              <w:t>Insecure Direct Object Reference (IDOR) in Basket Retrieval</w:t>
            </w:r>
          </w:p>
        </w:tc>
      </w:tr>
      <w:tr w:rsidR="002B0063" w14:paraId="79B89EEE" w14:textId="77777777">
        <w:trPr>
          <w:jc w:val="center"/>
        </w:trPr>
        <w:tc>
          <w:tcPr>
            <w:tcW w:w="2592" w:type="dxa"/>
            <w:tcBorders>
              <w:top w:val="single" w:sz="4" w:space="0" w:color="D9E1E8"/>
              <w:left w:val="single" w:sz="4" w:space="0" w:color="D9E1E8"/>
              <w:bottom w:val="single" w:sz="4" w:space="0" w:color="D9E1E8"/>
              <w:right w:val="single" w:sz="4" w:space="0" w:color="D9E1E8"/>
            </w:tcBorders>
            <w:shd w:val="clear" w:color="auto" w:fill="EAF5F8"/>
            <w:tcMar>
              <w:top w:w="100" w:type="dxa"/>
              <w:left w:w="120" w:type="dxa"/>
              <w:bottom w:w="100" w:type="dxa"/>
              <w:right w:w="120" w:type="dxa"/>
            </w:tcMar>
            <w:vAlign w:val="center"/>
          </w:tcPr>
          <w:p w14:paraId="0486D75F" w14:textId="77777777" w:rsidR="002B0063" w:rsidRDefault="00000000">
            <w:pPr>
              <w:spacing w:after="0"/>
            </w:pPr>
            <w:r>
              <w:rPr>
                <w:b/>
                <w:color w:val="183B56"/>
              </w:rPr>
              <w:t>Assessment target</w:t>
            </w:r>
          </w:p>
        </w:tc>
        <w:tc>
          <w:tcPr>
            <w:tcW w:w="6912" w:type="dxa"/>
            <w:tcBorders>
              <w:top w:val="single" w:sz="4" w:space="0" w:color="D9E1E8"/>
              <w:left w:val="single" w:sz="4" w:space="0" w:color="D9E1E8"/>
              <w:bottom w:val="single" w:sz="4" w:space="0" w:color="D9E1E8"/>
              <w:right w:val="single" w:sz="4" w:space="0" w:color="D9E1E8"/>
            </w:tcBorders>
            <w:tcMar>
              <w:top w:w="100" w:type="dxa"/>
              <w:left w:w="120" w:type="dxa"/>
              <w:bottom w:w="100" w:type="dxa"/>
              <w:right w:w="120" w:type="dxa"/>
            </w:tcMar>
            <w:vAlign w:val="center"/>
          </w:tcPr>
          <w:p w14:paraId="44011CBF" w14:textId="77777777" w:rsidR="002B0063" w:rsidRDefault="00000000">
            <w:pPr>
              <w:spacing w:after="0"/>
            </w:pPr>
            <w:r>
              <w:t>OWASP Juice Shop - local instance at http://127.0.0.1:3000</w:t>
            </w:r>
          </w:p>
        </w:tc>
      </w:tr>
      <w:tr w:rsidR="002B0063" w14:paraId="49A73471" w14:textId="77777777">
        <w:trPr>
          <w:jc w:val="center"/>
        </w:trPr>
        <w:tc>
          <w:tcPr>
            <w:tcW w:w="2592" w:type="dxa"/>
            <w:tcBorders>
              <w:top w:val="single" w:sz="4" w:space="0" w:color="D9E1E8"/>
              <w:left w:val="single" w:sz="4" w:space="0" w:color="D9E1E8"/>
              <w:bottom w:val="single" w:sz="4" w:space="0" w:color="D9E1E8"/>
              <w:right w:val="single" w:sz="4" w:space="0" w:color="D9E1E8"/>
            </w:tcBorders>
            <w:shd w:val="clear" w:color="auto" w:fill="EAF5F8"/>
            <w:tcMar>
              <w:top w:w="100" w:type="dxa"/>
              <w:left w:w="120" w:type="dxa"/>
              <w:bottom w:w="100" w:type="dxa"/>
              <w:right w:w="120" w:type="dxa"/>
            </w:tcMar>
            <w:vAlign w:val="center"/>
          </w:tcPr>
          <w:p w14:paraId="3AB5FE9B" w14:textId="77777777" w:rsidR="002B0063" w:rsidRDefault="00000000">
            <w:pPr>
              <w:spacing w:after="0"/>
            </w:pPr>
            <w:r>
              <w:rPr>
                <w:b/>
                <w:color w:val="183B56"/>
              </w:rPr>
              <w:t>Assessment type</w:t>
            </w:r>
          </w:p>
        </w:tc>
        <w:tc>
          <w:tcPr>
            <w:tcW w:w="6912" w:type="dxa"/>
            <w:tcBorders>
              <w:top w:val="single" w:sz="4" w:space="0" w:color="D9E1E8"/>
              <w:left w:val="single" w:sz="4" w:space="0" w:color="D9E1E8"/>
              <w:bottom w:val="single" w:sz="4" w:space="0" w:color="D9E1E8"/>
              <w:right w:val="single" w:sz="4" w:space="0" w:color="D9E1E8"/>
            </w:tcBorders>
            <w:tcMar>
              <w:top w:w="100" w:type="dxa"/>
              <w:left w:w="120" w:type="dxa"/>
              <w:bottom w:w="100" w:type="dxa"/>
              <w:right w:w="120" w:type="dxa"/>
            </w:tcMar>
            <w:vAlign w:val="center"/>
          </w:tcPr>
          <w:p w14:paraId="72F55ABF" w14:textId="77777777" w:rsidR="002B0063" w:rsidRDefault="00000000">
            <w:pPr>
              <w:spacing w:after="0"/>
            </w:pPr>
            <w:r>
              <w:t>Authorized academic web application security exercise</w:t>
            </w:r>
          </w:p>
        </w:tc>
      </w:tr>
      <w:tr w:rsidR="002B0063" w14:paraId="2B3BC075" w14:textId="77777777">
        <w:trPr>
          <w:jc w:val="center"/>
        </w:trPr>
        <w:tc>
          <w:tcPr>
            <w:tcW w:w="2592" w:type="dxa"/>
            <w:tcBorders>
              <w:top w:val="single" w:sz="4" w:space="0" w:color="D9E1E8"/>
              <w:left w:val="single" w:sz="4" w:space="0" w:color="D9E1E8"/>
              <w:bottom w:val="single" w:sz="4" w:space="0" w:color="D9E1E8"/>
              <w:right w:val="single" w:sz="4" w:space="0" w:color="D9E1E8"/>
            </w:tcBorders>
            <w:shd w:val="clear" w:color="auto" w:fill="EAF5F8"/>
            <w:tcMar>
              <w:top w:w="100" w:type="dxa"/>
              <w:left w:w="120" w:type="dxa"/>
              <w:bottom w:w="100" w:type="dxa"/>
              <w:right w:w="120" w:type="dxa"/>
            </w:tcMar>
            <w:vAlign w:val="center"/>
          </w:tcPr>
          <w:p w14:paraId="2E93B1FC" w14:textId="77777777" w:rsidR="002B0063" w:rsidRDefault="00000000">
            <w:pPr>
              <w:spacing w:after="0"/>
            </w:pPr>
            <w:r>
              <w:rPr>
                <w:b/>
                <w:color w:val="183B56"/>
              </w:rPr>
              <w:t>Assessment date</w:t>
            </w:r>
          </w:p>
        </w:tc>
        <w:tc>
          <w:tcPr>
            <w:tcW w:w="6912" w:type="dxa"/>
            <w:tcBorders>
              <w:top w:val="single" w:sz="4" w:space="0" w:color="D9E1E8"/>
              <w:left w:val="single" w:sz="4" w:space="0" w:color="D9E1E8"/>
              <w:bottom w:val="single" w:sz="4" w:space="0" w:color="D9E1E8"/>
              <w:right w:val="single" w:sz="4" w:space="0" w:color="D9E1E8"/>
            </w:tcBorders>
            <w:tcMar>
              <w:top w:w="100" w:type="dxa"/>
              <w:left w:w="120" w:type="dxa"/>
              <w:bottom w:w="100" w:type="dxa"/>
              <w:right w:w="120" w:type="dxa"/>
            </w:tcMar>
            <w:vAlign w:val="center"/>
          </w:tcPr>
          <w:p w14:paraId="731FEFB4" w14:textId="77777777" w:rsidR="002B0063" w:rsidRDefault="00000000">
            <w:pPr>
              <w:spacing w:after="0"/>
            </w:pPr>
            <w:r>
              <w:t>1 August 2026</w:t>
            </w:r>
          </w:p>
        </w:tc>
      </w:tr>
      <w:tr w:rsidR="002B0063" w14:paraId="7F72A39C" w14:textId="77777777">
        <w:trPr>
          <w:jc w:val="center"/>
        </w:trPr>
        <w:tc>
          <w:tcPr>
            <w:tcW w:w="2592" w:type="dxa"/>
            <w:tcBorders>
              <w:top w:val="single" w:sz="4" w:space="0" w:color="D9E1E8"/>
              <w:left w:val="single" w:sz="4" w:space="0" w:color="D9E1E8"/>
              <w:bottom w:val="single" w:sz="4" w:space="0" w:color="D9E1E8"/>
              <w:right w:val="single" w:sz="4" w:space="0" w:color="D9E1E8"/>
            </w:tcBorders>
            <w:shd w:val="clear" w:color="auto" w:fill="EAF5F8"/>
            <w:tcMar>
              <w:top w:w="100" w:type="dxa"/>
              <w:left w:w="120" w:type="dxa"/>
              <w:bottom w:w="100" w:type="dxa"/>
              <w:right w:w="120" w:type="dxa"/>
            </w:tcMar>
            <w:vAlign w:val="center"/>
          </w:tcPr>
          <w:p w14:paraId="2E5309EB" w14:textId="77777777" w:rsidR="002B0063" w:rsidRDefault="00000000">
            <w:pPr>
              <w:spacing w:after="0"/>
            </w:pPr>
            <w:r>
              <w:rPr>
                <w:b/>
                <w:color w:val="183B56"/>
              </w:rPr>
              <w:t>Prepared by</w:t>
            </w:r>
          </w:p>
        </w:tc>
        <w:tc>
          <w:tcPr>
            <w:tcW w:w="6912" w:type="dxa"/>
            <w:tcBorders>
              <w:top w:val="single" w:sz="4" w:space="0" w:color="D9E1E8"/>
              <w:left w:val="single" w:sz="4" w:space="0" w:color="D9E1E8"/>
              <w:bottom w:val="single" w:sz="4" w:space="0" w:color="D9E1E8"/>
              <w:right w:val="single" w:sz="4" w:space="0" w:color="D9E1E8"/>
            </w:tcBorders>
            <w:tcMar>
              <w:top w:w="100" w:type="dxa"/>
              <w:left w:w="120" w:type="dxa"/>
              <w:bottom w:w="100" w:type="dxa"/>
              <w:right w:w="120" w:type="dxa"/>
            </w:tcMar>
            <w:vAlign w:val="center"/>
          </w:tcPr>
          <w:p w14:paraId="42B045CD" w14:textId="77777777" w:rsidR="002B0063" w:rsidRDefault="00000000">
            <w:pPr>
              <w:spacing w:after="0"/>
            </w:pPr>
            <w:r>
              <w:t>Nataliah Alcala-Maharaj</w:t>
            </w:r>
          </w:p>
        </w:tc>
      </w:tr>
      <w:tr w:rsidR="002B0063" w14:paraId="4B27ECCA" w14:textId="77777777">
        <w:trPr>
          <w:jc w:val="center"/>
        </w:trPr>
        <w:tc>
          <w:tcPr>
            <w:tcW w:w="2592" w:type="dxa"/>
            <w:tcBorders>
              <w:top w:val="single" w:sz="4" w:space="0" w:color="D9E1E8"/>
              <w:left w:val="single" w:sz="4" w:space="0" w:color="D9E1E8"/>
              <w:bottom w:val="single" w:sz="4" w:space="0" w:color="D9E1E8"/>
              <w:right w:val="single" w:sz="4" w:space="0" w:color="D9E1E8"/>
            </w:tcBorders>
            <w:shd w:val="clear" w:color="auto" w:fill="EAF5F8"/>
            <w:tcMar>
              <w:top w:w="100" w:type="dxa"/>
              <w:left w:w="120" w:type="dxa"/>
              <w:bottom w:w="100" w:type="dxa"/>
              <w:right w:w="120" w:type="dxa"/>
            </w:tcMar>
            <w:vAlign w:val="center"/>
          </w:tcPr>
          <w:p w14:paraId="6BFB8537" w14:textId="77777777" w:rsidR="002B0063" w:rsidRDefault="00000000">
            <w:pPr>
              <w:spacing w:after="0"/>
            </w:pPr>
            <w:r>
              <w:rPr>
                <w:b/>
                <w:color w:val="183B56"/>
              </w:rPr>
              <w:t>Tools used</w:t>
            </w:r>
          </w:p>
        </w:tc>
        <w:tc>
          <w:tcPr>
            <w:tcW w:w="6912" w:type="dxa"/>
            <w:tcBorders>
              <w:top w:val="single" w:sz="4" w:space="0" w:color="D9E1E8"/>
              <w:left w:val="single" w:sz="4" w:space="0" w:color="D9E1E8"/>
              <w:bottom w:val="single" w:sz="4" w:space="0" w:color="D9E1E8"/>
              <w:right w:val="single" w:sz="4" w:space="0" w:color="D9E1E8"/>
            </w:tcBorders>
            <w:tcMar>
              <w:top w:w="100" w:type="dxa"/>
              <w:left w:w="120" w:type="dxa"/>
              <w:bottom w:w="100" w:type="dxa"/>
              <w:right w:w="120" w:type="dxa"/>
            </w:tcMar>
            <w:vAlign w:val="center"/>
          </w:tcPr>
          <w:p w14:paraId="2B327E67" w14:textId="77777777" w:rsidR="002B0063" w:rsidRDefault="00000000">
            <w:pPr>
              <w:spacing w:after="0"/>
            </w:pPr>
            <w:r>
              <w:t>Burp Suite Community Edition v2025.7.4, Google Chrome, Kali Linux, Oracle VirtualBox</w:t>
            </w:r>
          </w:p>
        </w:tc>
      </w:tr>
      <w:tr w:rsidR="002B0063" w14:paraId="5826FA9E" w14:textId="77777777">
        <w:trPr>
          <w:jc w:val="center"/>
        </w:trPr>
        <w:tc>
          <w:tcPr>
            <w:tcW w:w="2592" w:type="dxa"/>
            <w:tcBorders>
              <w:top w:val="single" w:sz="4" w:space="0" w:color="D9E1E8"/>
              <w:left w:val="single" w:sz="4" w:space="0" w:color="D9E1E8"/>
              <w:bottom w:val="single" w:sz="4" w:space="0" w:color="D9E1E8"/>
              <w:right w:val="single" w:sz="4" w:space="0" w:color="D9E1E8"/>
            </w:tcBorders>
            <w:shd w:val="clear" w:color="auto" w:fill="EAF5F8"/>
            <w:tcMar>
              <w:top w:w="100" w:type="dxa"/>
              <w:left w:w="120" w:type="dxa"/>
              <w:bottom w:w="100" w:type="dxa"/>
              <w:right w:w="120" w:type="dxa"/>
            </w:tcMar>
            <w:vAlign w:val="center"/>
          </w:tcPr>
          <w:p w14:paraId="55B3E423" w14:textId="77777777" w:rsidR="002B0063" w:rsidRDefault="00000000">
            <w:pPr>
              <w:spacing w:after="0"/>
            </w:pPr>
            <w:r>
              <w:rPr>
                <w:b/>
                <w:color w:val="183B56"/>
              </w:rPr>
              <w:t>Report version</w:t>
            </w:r>
          </w:p>
        </w:tc>
        <w:tc>
          <w:tcPr>
            <w:tcW w:w="6912" w:type="dxa"/>
            <w:tcBorders>
              <w:top w:val="single" w:sz="4" w:space="0" w:color="D9E1E8"/>
              <w:left w:val="single" w:sz="4" w:space="0" w:color="D9E1E8"/>
              <w:bottom w:val="single" w:sz="4" w:space="0" w:color="D9E1E8"/>
              <w:right w:val="single" w:sz="4" w:space="0" w:color="D9E1E8"/>
            </w:tcBorders>
            <w:tcMar>
              <w:top w:w="100" w:type="dxa"/>
              <w:left w:w="120" w:type="dxa"/>
              <w:bottom w:w="100" w:type="dxa"/>
              <w:right w:w="120" w:type="dxa"/>
            </w:tcMar>
            <w:vAlign w:val="center"/>
          </w:tcPr>
          <w:p w14:paraId="7143FBFD" w14:textId="77777777" w:rsidR="002B0063" w:rsidRDefault="00000000">
            <w:pPr>
              <w:spacing w:after="0"/>
            </w:pPr>
            <w:r>
              <w:t>1.0</w:t>
            </w:r>
          </w:p>
        </w:tc>
      </w:tr>
      <w:tr w:rsidR="002B0063" w14:paraId="6B22DEA3" w14:textId="77777777">
        <w:trPr>
          <w:jc w:val="center"/>
        </w:trPr>
        <w:tc>
          <w:tcPr>
            <w:tcW w:w="2592" w:type="dxa"/>
            <w:tcBorders>
              <w:top w:val="single" w:sz="4" w:space="0" w:color="D9E1E8"/>
              <w:left w:val="single" w:sz="4" w:space="0" w:color="D9E1E8"/>
              <w:bottom w:val="single" w:sz="4" w:space="0" w:color="D9E1E8"/>
              <w:right w:val="single" w:sz="4" w:space="0" w:color="D9E1E8"/>
            </w:tcBorders>
            <w:shd w:val="clear" w:color="auto" w:fill="EAF5F8"/>
            <w:tcMar>
              <w:top w:w="100" w:type="dxa"/>
              <w:left w:w="120" w:type="dxa"/>
              <w:bottom w:w="100" w:type="dxa"/>
              <w:right w:w="120" w:type="dxa"/>
            </w:tcMar>
            <w:vAlign w:val="center"/>
          </w:tcPr>
          <w:p w14:paraId="6A6953D7" w14:textId="77777777" w:rsidR="002B0063" w:rsidRDefault="00000000">
            <w:pPr>
              <w:spacing w:after="0"/>
            </w:pPr>
            <w:r>
              <w:rPr>
                <w:b/>
                <w:color w:val="183B56"/>
              </w:rPr>
              <w:t>Data handling</w:t>
            </w:r>
          </w:p>
        </w:tc>
        <w:tc>
          <w:tcPr>
            <w:tcW w:w="6912" w:type="dxa"/>
            <w:tcBorders>
              <w:top w:val="single" w:sz="4" w:space="0" w:color="D9E1E8"/>
              <w:left w:val="single" w:sz="4" w:space="0" w:color="D9E1E8"/>
              <w:bottom w:val="single" w:sz="4" w:space="0" w:color="D9E1E8"/>
              <w:right w:val="single" w:sz="4" w:space="0" w:color="D9E1E8"/>
            </w:tcBorders>
            <w:tcMar>
              <w:top w:w="100" w:type="dxa"/>
              <w:left w:w="120" w:type="dxa"/>
              <w:bottom w:w="100" w:type="dxa"/>
              <w:right w:w="120" w:type="dxa"/>
            </w:tcMar>
            <w:vAlign w:val="center"/>
          </w:tcPr>
          <w:p w14:paraId="65C25424" w14:textId="77777777" w:rsidR="002B0063" w:rsidRDefault="00000000">
            <w:pPr>
              <w:spacing w:after="0"/>
            </w:pPr>
            <w:r>
              <w:t>Authentication tokens and session cookies have been redacted from all evidence</w:t>
            </w:r>
          </w:p>
        </w:tc>
      </w:tr>
    </w:tbl>
    <w:p w14:paraId="33C41332" w14:textId="77777777" w:rsidR="002B0063" w:rsidRDefault="00000000">
      <w:pPr>
        <w:pStyle w:val="Heading1"/>
      </w:pPr>
      <w:r>
        <w:t>2. Executive Summary</w:t>
      </w:r>
    </w:p>
    <w:p w14:paraId="557DC968" w14:textId="77777777" w:rsidR="00394013" w:rsidRPr="00394013" w:rsidRDefault="00394013" w:rsidP="00394013">
      <w:pPr>
        <w:pStyle w:val="BodyText"/>
        <w:rPr>
          <w:lang w:val="en-TT"/>
        </w:rPr>
      </w:pPr>
      <w:r w:rsidRPr="00394013">
        <w:rPr>
          <w:lang w:val="en-TT"/>
        </w:rPr>
        <w:t>The assessment of the locally hosted OWASP Juice Shop application identified an insecure direct object reference (IDOR) in the basket retrieval function. The application used the numeric basket ID provided in the URL to retrieve a basket but did not verify that the basket belonged to the authenticated user.</w:t>
      </w:r>
    </w:p>
    <w:p w14:paraId="3FD5C6A9" w14:textId="3E052027" w:rsidR="00394013" w:rsidRPr="00394013" w:rsidRDefault="00394013">
      <w:pPr>
        <w:pStyle w:val="BodyText"/>
        <w:rPr>
          <w:lang w:val="en-TT"/>
        </w:rPr>
      </w:pPr>
      <w:r w:rsidRPr="00394013">
        <w:rPr>
          <w:lang w:val="en-TT"/>
        </w:rPr>
        <w:t>During testing, Test User B was logged in and assigned to basket 8. The request was sent to Burp Suite Repeater, where the basket ID was changed from 8 to 7 without changing Test User B’s authentication details. The application returned an HTTP 200 OK response and displayed basket 7, which belonged to Test User A. This shows that one authenticated user could access another user’s basket because the application did not perform the required object-level authorization check.</w:t>
      </w:r>
    </w:p>
    <w:p w14:paraId="03794416" w14:textId="77777777" w:rsidR="002B0063" w:rsidRDefault="00000000">
      <w:pPr>
        <w:pBdr>
          <w:top w:val="single" w:sz="6" w:space="6" w:color="999999"/>
          <w:bottom w:val="single" w:sz="6" w:space="6" w:color="999999"/>
        </w:pBdr>
        <w:spacing w:before="120" w:after="100"/>
      </w:pPr>
      <w:r>
        <w:rPr>
          <w:b/>
          <w:color w:val="183B56"/>
        </w:rPr>
        <w:t>Overall risk rating: MEDIUM</w:t>
      </w:r>
    </w:p>
    <w:p w14:paraId="5E35AFF2" w14:textId="77777777" w:rsidR="002B0063" w:rsidRDefault="00000000">
      <w:pPr>
        <w:spacing w:after="200"/>
      </w:pPr>
      <w:r>
        <w:t>The demonstrated impact was unauthorized read access to another user's basket data. Modification, deletion, checkout manipulation, and other write operations were not tested and are not claimed in this report.</w:t>
      </w:r>
    </w:p>
    <w:p w14:paraId="4CABBA58" w14:textId="77777777" w:rsidR="002B0063" w:rsidRDefault="00000000">
      <w:pPr>
        <w:pStyle w:val="Heading1"/>
      </w:pPr>
      <w:r>
        <w:t>3. Finding Summary</w:t>
      </w:r>
    </w:p>
    <w:tbl>
      <w:tblPr>
        <w:tblW w:w="0" w:type="auto"/>
        <w:jc w:val="center"/>
        <w:tblLayout w:type="fixed"/>
        <w:tblLook w:val="04A0" w:firstRow="1" w:lastRow="0" w:firstColumn="1" w:lastColumn="0" w:noHBand="0" w:noVBand="1"/>
      </w:tblPr>
      <w:tblGrid>
        <w:gridCol w:w="1080"/>
        <w:gridCol w:w="3816"/>
        <w:gridCol w:w="1224"/>
        <w:gridCol w:w="2232"/>
        <w:gridCol w:w="1152"/>
      </w:tblGrid>
      <w:tr w:rsidR="002B0063" w14:paraId="56257F11" w14:textId="77777777">
        <w:trPr>
          <w:tblHeader/>
          <w:jc w:val="center"/>
        </w:trPr>
        <w:tc>
          <w:tcPr>
            <w:tcW w:w="1080" w:type="dxa"/>
            <w:tcBorders>
              <w:top w:val="single" w:sz="4" w:space="0" w:color="FFFFFF"/>
              <w:left w:val="single" w:sz="4" w:space="0" w:color="FFFFFF"/>
              <w:bottom w:val="single" w:sz="4" w:space="0" w:color="FFFFFF"/>
              <w:right w:val="single" w:sz="4" w:space="0" w:color="FFFFFF"/>
            </w:tcBorders>
            <w:shd w:val="clear" w:color="auto" w:fill="183B56"/>
            <w:tcMar>
              <w:top w:w="100" w:type="dxa"/>
              <w:left w:w="120" w:type="dxa"/>
              <w:bottom w:w="100" w:type="dxa"/>
              <w:right w:w="120" w:type="dxa"/>
            </w:tcMar>
          </w:tcPr>
          <w:p w14:paraId="73189D3B" w14:textId="77777777" w:rsidR="002B0063" w:rsidRDefault="00000000">
            <w:pPr>
              <w:spacing w:after="0"/>
              <w:jc w:val="center"/>
            </w:pPr>
            <w:r>
              <w:rPr>
                <w:b/>
                <w:color w:val="FFFFFF"/>
                <w:sz w:val="18"/>
              </w:rPr>
              <w:t>ID</w:t>
            </w:r>
          </w:p>
        </w:tc>
        <w:tc>
          <w:tcPr>
            <w:tcW w:w="3816" w:type="dxa"/>
            <w:tcBorders>
              <w:top w:val="single" w:sz="4" w:space="0" w:color="FFFFFF"/>
              <w:left w:val="single" w:sz="4" w:space="0" w:color="FFFFFF"/>
              <w:bottom w:val="single" w:sz="4" w:space="0" w:color="FFFFFF"/>
              <w:right w:val="single" w:sz="4" w:space="0" w:color="FFFFFF"/>
            </w:tcBorders>
            <w:shd w:val="clear" w:color="auto" w:fill="183B56"/>
            <w:tcMar>
              <w:top w:w="100" w:type="dxa"/>
              <w:left w:w="120" w:type="dxa"/>
              <w:bottom w:w="100" w:type="dxa"/>
              <w:right w:w="120" w:type="dxa"/>
            </w:tcMar>
          </w:tcPr>
          <w:p w14:paraId="1254C36B" w14:textId="77777777" w:rsidR="002B0063" w:rsidRDefault="00000000">
            <w:pPr>
              <w:spacing w:after="0"/>
              <w:jc w:val="center"/>
            </w:pPr>
            <w:r>
              <w:rPr>
                <w:b/>
                <w:color w:val="FFFFFF"/>
                <w:sz w:val="18"/>
              </w:rPr>
              <w:t>Finding</w:t>
            </w:r>
          </w:p>
        </w:tc>
        <w:tc>
          <w:tcPr>
            <w:tcW w:w="1224" w:type="dxa"/>
            <w:tcBorders>
              <w:top w:val="single" w:sz="4" w:space="0" w:color="FFFFFF"/>
              <w:left w:val="single" w:sz="4" w:space="0" w:color="FFFFFF"/>
              <w:bottom w:val="single" w:sz="4" w:space="0" w:color="FFFFFF"/>
              <w:right w:val="single" w:sz="4" w:space="0" w:color="FFFFFF"/>
            </w:tcBorders>
            <w:shd w:val="clear" w:color="auto" w:fill="183B56"/>
            <w:tcMar>
              <w:top w:w="100" w:type="dxa"/>
              <w:left w:w="120" w:type="dxa"/>
              <w:bottom w:w="100" w:type="dxa"/>
              <w:right w:w="120" w:type="dxa"/>
            </w:tcMar>
          </w:tcPr>
          <w:p w14:paraId="58D99166" w14:textId="77777777" w:rsidR="002B0063" w:rsidRDefault="00000000">
            <w:pPr>
              <w:spacing w:after="0"/>
              <w:jc w:val="center"/>
            </w:pPr>
            <w:r>
              <w:rPr>
                <w:b/>
                <w:color w:val="FFFFFF"/>
                <w:sz w:val="18"/>
              </w:rPr>
              <w:t>Severity</w:t>
            </w:r>
          </w:p>
        </w:tc>
        <w:tc>
          <w:tcPr>
            <w:tcW w:w="2232" w:type="dxa"/>
            <w:tcBorders>
              <w:top w:val="single" w:sz="4" w:space="0" w:color="FFFFFF"/>
              <w:left w:val="single" w:sz="4" w:space="0" w:color="FFFFFF"/>
              <w:bottom w:val="single" w:sz="4" w:space="0" w:color="FFFFFF"/>
              <w:right w:val="single" w:sz="4" w:space="0" w:color="FFFFFF"/>
            </w:tcBorders>
            <w:shd w:val="clear" w:color="auto" w:fill="183B56"/>
            <w:tcMar>
              <w:top w:w="100" w:type="dxa"/>
              <w:left w:w="120" w:type="dxa"/>
              <w:bottom w:w="100" w:type="dxa"/>
              <w:right w:w="120" w:type="dxa"/>
            </w:tcMar>
          </w:tcPr>
          <w:p w14:paraId="2DABD25E" w14:textId="77777777" w:rsidR="002B0063" w:rsidRDefault="00000000">
            <w:pPr>
              <w:spacing w:after="0"/>
              <w:jc w:val="center"/>
            </w:pPr>
            <w:r>
              <w:rPr>
                <w:b/>
                <w:color w:val="FFFFFF"/>
                <w:sz w:val="18"/>
              </w:rPr>
              <w:t>Affected endpoint</w:t>
            </w:r>
          </w:p>
        </w:tc>
        <w:tc>
          <w:tcPr>
            <w:tcW w:w="1152" w:type="dxa"/>
            <w:tcBorders>
              <w:top w:val="single" w:sz="4" w:space="0" w:color="FFFFFF"/>
              <w:left w:val="single" w:sz="4" w:space="0" w:color="FFFFFF"/>
              <w:bottom w:val="single" w:sz="4" w:space="0" w:color="FFFFFF"/>
              <w:right w:val="single" w:sz="4" w:space="0" w:color="FFFFFF"/>
            </w:tcBorders>
            <w:shd w:val="clear" w:color="auto" w:fill="183B56"/>
            <w:tcMar>
              <w:top w:w="100" w:type="dxa"/>
              <w:left w:w="120" w:type="dxa"/>
              <w:bottom w:w="100" w:type="dxa"/>
              <w:right w:w="120" w:type="dxa"/>
            </w:tcMar>
          </w:tcPr>
          <w:p w14:paraId="33B23199" w14:textId="77777777" w:rsidR="002B0063" w:rsidRDefault="00000000">
            <w:pPr>
              <w:spacing w:after="0"/>
              <w:jc w:val="center"/>
            </w:pPr>
            <w:r>
              <w:rPr>
                <w:b/>
                <w:color w:val="FFFFFF"/>
                <w:sz w:val="18"/>
              </w:rPr>
              <w:t>Status</w:t>
            </w:r>
          </w:p>
        </w:tc>
      </w:tr>
      <w:tr w:rsidR="002B0063" w14:paraId="44185AC6" w14:textId="77777777">
        <w:trPr>
          <w:jc w:val="center"/>
        </w:trPr>
        <w:tc>
          <w:tcPr>
            <w:tcW w:w="1080" w:type="dxa"/>
            <w:tcBorders>
              <w:top w:val="single" w:sz="4" w:space="0" w:color="D9E1E8"/>
              <w:left w:val="single" w:sz="4" w:space="0" w:color="D9E1E8"/>
              <w:bottom w:val="single" w:sz="4" w:space="0" w:color="D9E1E8"/>
              <w:right w:val="single" w:sz="4" w:space="0" w:color="D9E1E8"/>
            </w:tcBorders>
            <w:shd w:val="clear" w:color="auto" w:fill="FFFFFF"/>
            <w:tcMar>
              <w:top w:w="100" w:type="dxa"/>
              <w:left w:w="120" w:type="dxa"/>
              <w:bottom w:w="100" w:type="dxa"/>
              <w:right w:w="120" w:type="dxa"/>
            </w:tcMar>
          </w:tcPr>
          <w:p w14:paraId="778889C3" w14:textId="77777777" w:rsidR="002B0063" w:rsidRDefault="00000000">
            <w:pPr>
              <w:spacing w:after="0"/>
              <w:jc w:val="center"/>
            </w:pPr>
            <w:r>
              <w:rPr>
                <w:b/>
                <w:sz w:val="18"/>
              </w:rPr>
              <w:t>WEB-01</w:t>
            </w:r>
          </w:p>
        </w:tc>
        <w:tc>
          <w:tcPr>
            <w:tcW w:w="3816" w:type="dxa"/>
            <w:tcBorders>
              <w:top w:val="single" w:sz="4" w:space="0" w:color="D9E1E8"/>
              <w:left w:val="single" w:sz="4" w:space="0" w:color="D9E1E8"/>
              <w:bottom w:val="single" w:sz="4" w:space="0" w:color="D9E1E8"/>
              <w:right w:val="single" w:sz="4" w:space="0" w:color="D9E1E8"/>
            </w:tcBorders>
            <w:shd w:val="clear" w:color="auto" w:fill="FFFFFF"/>
            <w:tcMar>
              <w:top w:w="100" w:type="dxa"/>
              <w:left w:w="120" w:type="dxa"/>
              <w:bottom w:w="100" w:type="dxa"/>
              <w:right w:w="120" w:type="dxa"/>
            </w:tcMar>
          </w:tcPr>
          <w:p w14:paraId="4C19EED5" w14:textId="77777777" w:rsidR="002B0063" w:rsidRDefault="00000000">
            <w:pPr>
              <w:spacing w:after="0"/>
            </w:pPr>
            <w:r>
              <w:rPr>
                <w:sz w:val="18"/>
              </w:rPr>
              <w:t>IDOR permits access to another user's basket</w:t>
            </w:r>
          </w:p>
        </w:tc>
        <w:tc>
          <w:tcPr>
            <w:tcW w:w="1224" w:type="dxa"/>
            <w:tcBorders>
              <w:top w:val="single" w:sz="4" w:space="0" w:color="D9E1E8"/>
              <w:left w:val="single" w:sz="4" w:space="0" w:color="D9E1E8"/>
              <w:bottom w:val="single" w:sz="4" w:space="0" w:color="D9E1E8"/>
              <w:right w:val="single" w:sz="4" w:space="0" w:color="D9E1E8"/>
            </w:tcBorders>
            <w:shd w:val="clear" w:color="auto" w:fill="FFF3E6"/>
            <w:tcMar>
              <w:top w:w="100" w:type="dxa"/>
              <w:left w:w="120" w:type="dxa"/>
              <w:bottom w:w="100" w:type="dxa"/>
              <w:right w:w="120" w:type="dxa"/>
            </w:tcMar>
          </w:tcPr>
          <w:p w14:paraId="19EC37EC" w14:textId="77777777" w:rsidR="002B0063" w:rsidRDefault="00000000">
            <w:pPr>
              <w:spacing w:after="0"/>
              <w:jc w:val="center"/>
            </w:pPr>
            <w:r>
              <w:rPr>
                <w:b/>
                <w:color w:val="D97706"/>
                <w:sz w:val="18"/>
              </w:rPr>
              <w:t>Medium</w:t>
            </w:r>
          </w:p>
        </w:tc>
        <w:tc>
          <w:tcPr>
            <w:tcW w:w="2232" w:type="dxa"/>
            <w:tcBorders>
              <w:top w:val="single" w:sz="4" w:space="0" w:color="D9E1E8"/>
              <w:left w:val="single" w:sz="4" w:space="0" w:color="D9E1E8"/>
              <w:bottom w:val="single" w:sz="4" w:space="0" w:color="D9E1E8"/>
              <w:right w:val="single" w:sz="4" w:space="0" w:color="D9E1E8"/>
            </w:tcBorders>
            <w:shd w:val="clear" w:color="auto" w:fill="FFFFFF"/>
            <w:tcMar>
              <w:top w:w="100" w:type="dxa"/>
              <w:left w:w="120" w:type="dxa"/>
              <w:bottom w:w="100" w:type="dxa"/>
              <w:right w:w="120" w:type="dxa"/>
            </w:tcMar>
          </w:tcPr>
          <w:p w14:paraId="162A2AB5" w14:textId="77777777" w:rsidR="002B0063" w:rsidRDefault="00000000">
            <w:pPr>
              <w:spacing w:after="0"/>
            </w:pPr>
            <w:r>
              <w:rPr>
                <w:sz w:val="18"/>
              </w:rPr>
              <w:t>GET /rest/basket/{id}</w:t>
            </w:r>
          </w:p>
        </w:tc>
        <w:tc>
          <w:tcPr>
            <w:tcW w:w="1152" w:type="dxa"/>
            <w:tcBorders>
              <w:top w:val="single" w:sz="4" w:space="0" w:color="D9E1E8"/>
              <w:left w:val="single" w:sz="4" w:space="0" w:color="D9E1E8"/>
              <w:bottom w:val="single" w:sz="4" w:space="0" w:color="D9E1E8"/>
              <w:right w:val="single" w:sz="4" w:space="0" w:color="D9E1E8"/>
            </w:tcBorders>
            <w:shd w:val="clear" w:color="auto" w:fill="FFFFFF"/>
            <w:tcMar>
              <w:top w:w="100" w:type="dxa"/>
              <w:left w:w="120" w:type="dxa"/>
              <w:bottom w:w="100" w:type="dxa"/>
              <w:right w:w="120" w:type="dxa"/>
            </w:tcMar>
          </w:tcPr>
          <w:p w14:paraId="6AB530A7" w14:textId="77777777" w:rsidR="002B0063" w:rsidRDefault="00000000">
            <w:pPr>
              <w:spacing w:after="0"/>
              <w:jc w:val="center"/>
            </w:pPr>
            <w:r>
              <w:rPr>
                <w:sz w:val="18"/>
              </w:rPr>
              <w:t>Confirmed</w:t>
            </w:r>
          </w:p>
        </w:tc>
      </w:tr>
    </w:tbl>
    <w:p w14:paraId="755F2B2E" w14:textId="77777777" w:rsidR="002B0063" w:rsidRDefault="00000000">
      <w:pPr>
        <w:pStyle w:val="Heading1"/>
      </w:pPr>
      <w:r>
        <w:t>4. Scope and Methodology</w:t>
      </w:r>
    </w:p>
    <w:p w14:paraId="5F0867F7" w14:textId="77777777" w:rsidR="002B0063" w:rsidRDefault="00000000">
      <w:pPr>
        <w:pStyle w:val="Heading2"/>
      </w:pPr>
      <w:r>
        <w:t>4.1 Scope</w:t>
      </w:r>
    </w:p>
    <w:p w14:paraId="60894A11" w14:textId="77777777" w:rsidR="002B0063" w:rsidRDefault="00000000">
      <w:pPr>
        <w:pStyle w:val="ListBullet"/>
      </w:pPr>
      <w:r>
        <w:t>In scope: basket retrieval functionality on the locally hosted OWASP Juice Shop instance at 127.0.0.1:3000.</w:t>
      </w:r>
    </w:p>
    <w:p w14:paraId="0DEB5821" w14:textId="77777777" w:rsidR="002B0063" w:rsidRDefault="00000000">
      <w:pPr>
        <w:pStyle w:val="ListBullet"/>
      </w:pPr>
      <w:r>
        <w:t>Test accounts: two researcher-controlled dummy user accounts, identified in this report as Test User A and Test User B.</w:t>
      </w:r>
    </w:p>
    <w:p w14:paraId="18A09753" w14:textId="77777777" w:rsidR="002B0063" w:rsidRDefault="00000000">
      <w:pPr>
        <w:pStyle w:val="ListBullet"/>
      </w:pPr>
      <w:r>
        <w:lastRenderedPageBreak/>
        <w:t>Out of scope: external systems, production systems, denial-of-service activity, destructive testing, and unauthorized access to real user data.</w:t>
      </w:r>
    </w:p>
    <w:p w14:paraId="63D9FA81" w14:textId="5195DC46" w:rsidR="002B0063" w:rsidRDefault="00000000">
      <w:pPr>
        <w:pStyle w:val="Heading2"/>
      </w:pPr>
      <w:r>
        <w:t xml:space="preserve">4.2 Assessment </w:t>
      </w:r>
      <w:r w:rsidR="00B168B5">
        <w:t>M</w:t>
      </w:r>
      <w:r>
        <w:t>ethodology</w:t>
      </w:r>
    </w:p>
    <w:p w14:paraId="3C6C1F46" w14:textId="77777777" w:rsidR="002B0063" w:rsidRDefault="00000000">
      <w:pPr>
        <w:pStyle w:val="BodyText"/>
      </w:pPr>
      <w:r>
        <w:t>The assessment used a controlled two-account authorization test. Each test account was given a distinct basket and product so that ownership could be verified. Requests were captured through Burp Suite, replayed in Repeater, and modified one variable at a time. Authentication values were deliberately kept unchanged during the cross-account test.</w:t>
      </w:r>
    </w:p>
    <w:p w14:paraId="1AF8964D" w14:textId="77777777" w:rsidR="002B0063" w:rsidRDefault="00000000">
      <w:pPr>
        <w:pStyle w:val="ListBullet"/>
      </w:pPr>
      <w:r>
        <w:t>Test User A: basket 7, internal UserId 7, containing “Fruit Press”.</w:t>
      </w:r>
    </w:p>
    <w:p w14:paraId="4DAAC198" w14:textId="77777777" w:rsidR="002B0063" w:rsidRDefault="00000000">
      <w:pPr>
        <w:pStyle w:val="ListBullet"/>
      </w:pPr>
      <w:r>
        <w:t>Test User B: basket 8, internal UserId 8, containing “Basil Smoothie”.</w:t>
      </w:r>
    </w:p>
    <w:p w14:paraId="627C1626" w14:textId="26CDEF7C" w:rsidR="00B168B5" w:rsidRDefault="00000000" w:rsidP="004565E5">
      <w:pPr>
        <w:pStyle w:val="ListBullet"/>
      </w:pPr>
      <w:r>
        <w:t>Manipulated value: the basket identifier in the URL path only.</w:t>
      </w:r>
    </w:p>
    <w:p w14:paraId="0960DCA6" w14:textId="3CC24F13" w:rsidR="004565E5" w:rsidRDefault="004565E5" w:rsidP="004565E5">
      <w:pPr>
        <w:pStyle w:val="Heading2"/>
      </w:pPr>
      <w:r>
        <w:t>4</w:t>
      </w:r>
      <w:r>
        <w:t xml:space="preserve">.1 Figure 1 - </w:t>
      </w:r>
      <w:r w:rsidRPr="004565E5">
        <w:t>Test User A's basket</w:t>
      </w:r>
    </w:p>
    <w:p w14:paraId="56899273" w14:textId="77777777" w:rsidR="00B168B5" w:rsidRDefault="00B168B5">
      <w:r>
        <w:rPr>
          <w:noProof/>
        </w:rPr>
        <w:drawing>
          <wp:inline distT="0" distB="0" distL="0" distR="0" wp14:anchorId="05905177" wp14:editId="16834940">
            <wp:extent cx="6400800" cy="2476500"/>
            <wp:effectExtent l="0" t="0" r="0" b="0"/>
            <wp:docPr id="19270523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052365" name="Picture 1927052365"/>
                    <pic:cNvPicPr/>
                  </pic:nvPicPr>
                  <pic:blipFill>
                    <a:blip r:embed="rId8"/>
                    <a:stretch>
                      <a:fillRect/>
                    </a:stretch>
                  </pic:blipFill>
                  <pic:spPr>
                    <a:xfrm>
                      <a:off x="0" y="0"/>
                      <a:ext cx="6400800" cy="2476500"/>
                    </a:xfrm>
                    <a:prstGeom prst="rect">
                      <a:avLst/>
                    </a:prstGeom>
                  </pic:spPr>
                </pic:pic>
              </a:graphicData>
            </a:graphic>
          </wp:inline>
        </w:drawing>
      </w:r>
    </w:p>
    <w:p w14:paraId="60C69060" w14:textId="5B183C02" w:rsidR="004565E5" w:rsidRDefault="004565E5" w:rsidP="004565E5">
      <w:pPr>
        <w:spacing w:after="160"/>
      </w:pPr>
      <w:r w:rsidRPr="004565E5">
        <w:rPr>
          <w:b/>
          <w:bCs/>
          <w:i/>
          <w:color w:val="5A5A5A"/>
          <w:sz w:val="18"/>
        </w:rPr>
        <w:t>Figure 1</w:t>
      </w:r>
      <w:r>
        <w:rPr>
          <w:i/>
          <w:color w:val="5A5A5A"/>
          <w:sz w:val="18"/>
        </w:rPr>
        <w:t xml:space="preserve">: </w:t>
      </w:r>
      <w:r w:rsidRPr="004565E5">
        <w:rPr>
          <w:i/>
          <w:color w:val="5A5A5A"/>
          <w:sz w:val="18"/>
        </w:rPr>
        <w:t xml:space="preserve">Test User A's basket (ID 7) as shown in </w:t>
      </w:r>
      <w:proofErr w:type="gramStart"/>
      <w:r w:rsidRPr="004565E5">
        <w:rPr>
          <w:i/>
          <w:color w:val="5A5A5A"/>
          <w:sz w:val="18"/>
        </w:rPr>
        <w:t>the application</w:t>
      </w:r>
      <w:proofErr w:type="gramEnd"/>
      <w:r w:rsidRPr="004565E5">
        <w:rPr>
          <w:i/>
          <w:color w:val="5A5A5A"/>
          <w:sz w:val="18"/>
        </w:rPr>
        <w:t xml:space="preserve"> UI, confirming the "Fruit Press" contents described above</w:t>
      </w:r>
      <w:r>
        <w:rPr>
          <w:i/>
          <w:color w:val="5A5A5A"/>
          <w:sz w:val="18"/>
        </w:rPr>
        <w:t>.</w:t>
      </w:r>
    </w:p>
    <w:p w14:paraId="22EA2915" w14:textId="1362C983" w:rsidR="00B168B5" w:rsidRDefault="004565E5" w:rsidP="004565E5">
      <w:pPr>
        <w:pStyle w:val="Heading2"/>
      </w:pPr>
      <w:r>
        <w:t>4</w:t>
      </w:r>
      <w:r>
        <w:t>.</w:t>
      </w:r>
      <w:r>
        <w:t>2</w:t>
      </w:r>
      <w:r>
        <w:t xml:space="preserve"> Figure 1 - </w:t>
      </w:r>
      <w:r w:rsidRPr="004565E5">
        <w:t>Test User B's basket</w:t>
      </w:r>
    </w:p>
    <w:p w14:paraId="0EE9A5AE" w14:textId="77777777" w:rsidR="00B168B5" w:rsidRDefault="00B168B5">
      <w:r>
        <w:rPr>
          <w:noProof/>
        </w:rPr>
        <w:drawing>
          <wp:inline distT="0" distB="0" distL="0" distR="0" wp14:anchorId="2CA35269" wp14:editId="15D6F88D">
            <wp:extent cx="6400800" cy="2551430"/>
            <wp:effectExtent l="0" t="0" r="0" b="1270"/>
            <wp:docPr id="1782963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63027" name="Picture 1782963027"/>
                    <pic:cNvPicPr/>
                  </pic:nvPicPr>
                  <pic:blipFill>
                    <a:blip r:embed="rId9"/>
                    <a:stretch>
                      <a:fillRect/>
                    </a:stretch>
                  </pic:blipFill>
                  <pic:spPr>
                    <a:xfrm>
                      <a:off x="0" y="0"/>
                      <a:ext cx="6400800" cy="2551430"/>
                    </a:xfrm>
                    <a:prstGeom prst="rect">
                      <a:avLst/>
                    </a:prstGeom>
                  </pic:spPr>
                </pic:pic>
              </a:graphicData>
            </a:graphic>
          </wp:inline>
        </w:drawing>
      </w:r>
    </w:p>
    <w:p w14:paraId="5658EA27" w14:textId="4D68F313" w:rsidR="004565E5" w:rsidRDefault="004565E5" w:rsidP="004565E5">
      <w:pPr>
        <w:spacing w:after="160"/>
      </w:pPr>
      <w:r w:rsidRPr="004565E5">
        <w:rPr>
          <w:b/>
          <w:bCs/>
          <w:i/>
          <w:color w:val="5A5A5A"/>
          <w:sz w:val="18"/>
        </w:rPr>
        <w:t xml:space="preserve">Figure </w:t>
      </w:r>
      <w:r>
        <w:rPr>
          <w:b/>
          <w:bCs/>
          <w:i/>
          <w:color w:val="5A5A5A"/>
          <w:sz w:val="18"/>
        </w:rPr>
        <w:t>2</w:t>
      </w:r>
      <w:r>
        <w:rPr>
          <w:i/>
          <w:color w:val="5A5A5A"/>
          <w:sz w:val="18"/>
        </w:rPr>
        <w:t xml:space="preserve">: </w:t>
      </w:r>
      <w:r w:rsidRPr="004565E5">
        <w:rPr>
          <w:i/>
          <w:color w:val="5A5A5A"/>
          <w:sz w:val="18"/>
        </w:rPr>
        <w:t xml:space="preserve">Test User B's basket (ID 8) as shown in </w:t>
      </w:r>
      <w:proofErr w:type="gramStart"/>
      <w:r w:rsidRPr="004565E5">
        <w:rPr>
          <w:i/>
          <w:color w:val="5A5A5A"/>
          <w:sz w:val="18"/>
        </w:rPr>
        <w:t>the application</w:t>
      </w:r>
      <w:proofErr w:type="gramEnd"/>
      <w:r w:rsidRPr="004565E5">
        <w:rPr>
          <w:i/>
          <w:color w:val="5A5A5A"/>
          <w:sz w:val="18"/>
        </w:rPr>
        <w:t xml:space="preserve"> UI, confirming the "Basil Smoothie" contents described above.</w:t>
      </w:r>
    </w:p>
    <w:p w14:paraId="49A08C33" w14:textId="36F7AA9C" w:rsidR="002B0063" w:rsidRDefault="00000000">
      <w:r>
        <w:br w:type="page"/>
      </w:r>
    </w:p>
    <w:p w14:paraId="2F2F6D79" w14:textId="77777777" w:rsidR="002B0063" w:rsidRDefault="00000000">
      <w:pPr>
        <w:pStyle w:val="Heading1"/>
      </w:pPr>
      <w:r>
        <w:lastRenderedPageBreak/>
        <w:t>5. Detailed Finding - WEB-01</w:t>
      </w:r>
    </w:p>
    <w:tbl>
      <w:tblPr>
        <w:tblW w:w="0" w:type="auto"/>
        <w:jc w:val="center"/>
        <w:tblLayout w:type="fixed"/>
        <w:tblLook w:val="04A0" w:firstRow="1" w:lastRow="0" w:firstColumn="1" w:lastColumn="0" w:noHBand="0" w:noVBand="1"/>
      </w:tblPr>
      <w:tblGrid>
        <w:gridCol w:w="2592"/>
        <w:gridCol w:w="6912"/>
      </w:tblGrid>
      <w:tr w:rsidR="002B0063" w14:paraId="6D315324" w14:textId="77777777">
        <w:trPr>
          <w:jc w:val="center"/>
        </w:trPr>
        <w:tc>
          <w:tcPr>
            <w:tcW w:w="2592" w:type="dxa"/>
            <w:tcBorders>
              <w:top w:val="single" w:sz="4" w:space="0" w:color="D9E1E8"/>
              <w:left w:val="single" w:sz="4" w:space="0" w:color="D9E1E8"/>
              <w:bottom w:val="single" w:sz="4" w:space="0" w:color="D9E1E8"/>
              <w:right w:val="single" w:sz="4" w:space="0" w:color="D9E1E8"/>
            </w:tcBorders>
            <w:shd w:val="clear" w:color="auto" w:fill="EAF5F8"/>
            <w:tcMar>
              <w:top w:w="100" w:type="dxa"/>
              <w:left w:w="120" w:type="dxa"/>
              <w:bottom w:w="100" w:type="dxa"/>
              <w:right w:w="120" w:type="dxa"/>
            </w:tcMar>
            <w:vAlign w:val="center"/>
          </w:tcPr>
          <w:p w14:paraId="498798D8" w14:textId="77777777" w:rsidR="002B0063" w:rsidRDefault="00000000">
            <w:pPr>
              <w:spacing w:after="0"/>
            </w:pPr>
            <w:r>
              <w:rPr>
                <w:b/>
                <w:color w:val="183B56"/>
              </w:rPr>
              <w:t>Finding</w:t>
            </w:r>
          </w:p>
        </w:tc>
        <w:tc>
          <w:tcPr>
            <w:tcW w:w="6912" w:type="dxa"/>
            <w:tcBorders>
              <w:top w:val="single" w:sz="4" w:space="0" w:color="D9E1E8"/>
              <w:left w:val="single" w:sz="4" w:space="0" w:color="D9E1E8"/>
              <w:bottom w:val="single" w:sz="4" w:space="0" w:color="D9E1E8"/>
              <w:right w:val="single" w:sz="4" w:space="0" w:color="D9E1E8"/>
            </w:tcBorders>
            <w:tcMar>
              <w:top w:w="100" w:type="dxa"/>
              <w:left w:w="120" w:type="dxa"/>
              <w:bottom w:w="100" w:type="dxa"/>
              <w:right w:w="120" w:type="dxa"/>
            </w:tcMar>
            <w:vAlign w:val="center"/>
          </w:tcPr>
          <w:p w14:paraId="71FF60CB" w14:textId="77777777" w:rsidR="002B0063" w:rsidRDefault="00000000">
            <w:pPr>
              <w:spacing w:after="0"/>
            </w:pPr>
            <w:r>
              <w:t>Insecure Direct Object Reference in Basket Retrieval</w:t>
            </w:r>
          </w:p>
        </w:tc>
      </w:tr>
      <w:tr w:rsidR="002B0063" w14:paraId="23A9EC93" w14:textId="77777777">
        <w:trPr>
          <w:jc w:val="center"/>
        </w:trPr>
        <w:tc>
          <w:tcPr>
            <w:tcW w:w="2592" w:type="dxa"/>
            <w:tcBorders>
              <w:top w:val="single" w:sz="4" w:space="0" w:color="D9E1E8"/>
              <w:left w:val="single" w:sz="4" w:space="0" w:color="D9E1E8"/>
              <w:bottom w:val="single" w:sz="4" w:space="0" w:color="D9E1E8"/>
              <w:right w:val="single" w:sz="4" w:space="0" w:color="D9E1E8"/>
            </w:tcBorders>
            <w:shd w:val="clear" w:color="auto" w:fill="EAF5F8"/>
            <w:tcMar>
              <w:top w:w="100" w:type="dxa"/>
              <w:left w:w="120" w:type="dxa"/>
              <w:bottom w:w="100" w:type="dxa"/>
              <w:right w:w="120" w:type="dxa"/>
            </w:tcMar>
            <w:vAlign w:val="center"/>
          </w:tcPr>
          <w:p w14:paraId="184F6E9D" w14:textId="77777777" w:rsidR="002B0063" w:rsidRDefault="00000000">
            <w:pPr>
              <w:spacing w:after="0"/>
            </w:pPr>
            <w:r>
              <w:rPr>
                <w:b/>
                <w:color w:val="183B56"/>
              </w:rPr>
              <w:t>Severity</w:t>
            </w:r>
          </w:p>
        </w:tc>
        <w:tc>
          <w:tcPr>
            <w:tcW w:w="6912" w:type="dxa"/>
            <w:tcBorders>
              <w:top w:val="single" w:sz="4" w:space="0" w:color="D9E1E8"/>
              <w:left w:val="single" w:sz="4" w:space="0" w:color="D9E1E8"/>
              <w:bottom w:val="single" w:sz="4" w:space="0" w:color="D9E1E8"/>
              <w:right w:val="single" w:sz="4" w:space="0" w:color="D9E1E8"/>
            </w:tcBorders>
            <w:tcMar>
              <w:top w:w="100" w:type="dxa"/>
              <w:left w:w="120" w:type="dxa"/>
              <w:bottom w:w="100" w:type="dxa"/>
              <w:right w:w="120" w:type="dxa"/>
            </w:tcMar>
            <w:vAlign w:val="center"/>
          </w:tcPr>
          <w:p w14:paraId="3A532B1E" w14:textId="77777777" w:rsidR="002B0063" w:rsidRDefault="00000000">
            <w:pPr>
              <w:spacing w:after="0"/>
            </w:pPr>
            <w:r>
              <w:t>Medium</w:t>
            </w:r>
          </w:p>
        </w:tc>
      </w:tr>
      <w:tr w:rsidR="002B0063" w14:paraId="73670C14" w14:textId="77777777">
        <w:trPr>
          <w:jc w:val="center"/>
        </w:trPr>
        <w:tc>
          <w:tcPr>
            <w:tcW w:w="2592" w:type="dxa"/>
            <w:tcBorders>
              <w:top w:val="single" w:sz="4" w:space="0" w:color="D9E1E8"/>
              <w:left w:val="single" w:sz="4" w:space="0" w:color="D9E1E8"/>
              <w:bottom w:val="single" w:sz="4" w:space="0" w:color="D9E1E8"/>
              <w:right w:val="single" w:sz="4" w:space="0" w:color="D9E1E8"/>
            </w:tcBorders>
            <w:shd w:val="clear" w:color="auto" w:fill="EAF5F8"/>
            <w:tcMar>
              <w:top w:w="100" w:type="dxa"/>
              <w:left w:w="120" w:type="dxa"/>
              <w:bottom w:w="100" w:type="dxa"/>
              <w:right w:w="120" w:type="dxa"/>
            </w:tcMar>
            <w:vAlign w:val="center"/>
          </w:tcPr>
          <w:p w14:paraId="48E5929A" w14:textId="77777777" w:rsidR="002B0063" w:rsidRDefault="00000000">
            <w:pPr>
              <w:spacing w:after="0"/>
            </w:pPr>
            <w:r>
              <w:rPr>
                <w:b/>
                <w:color w:val="183B56"/>
              </w:rPr>
              <w:t>Provisional CVSS v3.1</w:t>
            </w:r>
          </w:p>
        </w:tc>
        <w:tc>
          <w:tcPr>
            <w:tcW w:w="6912" w:type="dxa"/>
            <w:tcBorders>
              <w:top w:val="single" w:sz="4" w:space="0" w:color="D9E1E8"/>
              <w:left w:val="single" w:sz="4" w:space="0" w:color="D9E1E8"/>
              <w:bottom w:val="single" w:sz="4" w:space="0" w:color="D9E1E8"/>
              <w:right w:val="single" w:sz="4" w:space="0" w:color="D9E1E8"/>
            </w:tcBorders>
            <w:tcMar>
              <w:top w:w="100" w:type="dxa"/>
              <w:left w:w="120" w:type="dxa"/>
              <w:bottom w:w="100" w:type="dxa"/>
              <w:right w:w="120" w:type="dxa"/>
            </w:tcMar>
            <w:vAlign w:val="center"/>
          </w:tcPr>
          <w:p w14:paraId="2A35F790" w14:textId="77777777" w:rsidR="002B0063" w:rsidRDefault="00000000">
            <w:pPr>
              <w:spacing w:after="0"/>
            </w:pPr>
            <w:r>
              <w:t>4.3 - AV:N/AC:L/PR:L/UI:N/S:U/C:L/I:N/A:N</w:t>
            </w:r>
          </w:p>
        </w:tc>
      </w:tr>
      <w:tr w:rsidR="002B0063" w14:paraId="6ED8B26D" w14:textId="77777777">
        <w:trPr>
          <w:jc w:val="center"/>
        </w:trPr>
        <w:tc>
          <w:tcPr>
            <w:tcW w:w="2592" w:type="dxa"/>
            <w:tcBorders>
              <w:top w:val="single" w:sz="4" w:space="0" w:color="D9E1E8"/>
              <w:left w:val="single" w:sz="4" w:space="0" w:color="D9E1E8"/>
              <w:bottom w:val="single" w:sz="4" w:space="0" w:color="D9E1E8"/>
              <w:right w:val="single" w:sz="4" w:space="0" w:color="D9E1E8"/>
            </w:tcBorders>
            <w:shd w:val="clear" w:color="auto" w:fill="EAF5F8"/>
            <w:tcMar>
              <w:top w:w="100" w:type="dxa"/>
              <w:left w:w="120" w:type="dxa"/>
              <w:bottom w:w="100" w:type="dxa"/>
              <w:right w:w="120" w:type="dxa"/>
            </w:tcMar>
            <w:vAlign w:val="center"/>
          </w:tcPr>
          <w:p w14:paraId="53474104" w14:textId="77777777" w:rsidR="002B0063" w:rsidRDefault="00000000">
            <w:pPr>
              <w:spacing w:after="0"/>
            </w:pPr>
            <w:r>
              <w:rPr>
                <w:b/>
                <w:color w:val="183B56"/>
              </w:rPr>
              <w:t>Affected endpoint</w:t>
            </w:r>
          </w:p>
        </w:tc>
        <w:tc>
          <w:tcPr>
            <w:tcW w:w="6912" w:type="dxa"/>
            <w:tcBorders>
              <w:top w:val="single" w:sz="4" w:space="0" w:color="D9E1E8"/>
              <w:left w:val="single" w:sz="4" w:space="0" w:color="D9E1E8"/>
              <w:bottom w:val="single" w:sz="4" w:space="0" w:color="D9E1E8"/>
              <w:right w:val="single" w:sz="4" w:space="0" w:color="D9E1E8"/>
            </w:tcBorders>
            <w:tcMar>
              <w:top w:w="100" w:type="dxa"/>
              <w:left w:w="120" w:type="dxa"/>
              <w:bottom w:w="100" w:type="dxa"/>
              <w:right w:w="120" w:type="dxa"/>
            </w:tcMar>
            <w:vAlign w:val="center"/>
          </w:tcPr>
          <w:p w14:paraId="6F962A11" w14:textId="77777777" w:rsidR="002B0063" w:rsidRDefault="00000000">
            <w:pPr>
              <w:spacing w:after="0"/>
            </w:pPr>
            <w:r>
              <w:t>GET /rest/basket/{basketId}</w:t>
            </w:r>
          </w:p>
        </w:tc>
      </w:tr>
      <w:tr w:rsidR="002B0063" w14:paraId="15F6E385" w14:textId="77777777">
        <w:trPr>
          <w:jc w:val="center"/>
        </w:trPr>
        <w:tc>
          <w:tcPr>
            <w:tcW w:w="2592" w:type="dxa"/>
            <w:tcBorders>
              <w:top w:val="single" w:sz="4" w:space="0" w:color="D9E1E8"/>
              <w:left w:val="single" w:sz="4" w:space="0" w:color="D9E1E8"/>
              <w:bottom w:val="single" w:sz="4" w:space="0" w:color="D9E1E8"/>
              <w:right w:val="single" w:sz="4" w:space="0" w:color="D9E1E8"/>
            </w:tcBorders>
            <w:shd w:val="clear" w:color="auto" w:fill="EAF5F8"/>
            <w:tcMar>
              <w:top w:w="100" w:type="dxa"/>
              <w:left w:w="120" w:type="dxa"/>
              <w:bottom w:w="100" w:type="dxa"/>
              <w:right w:w="120" w:type="dxa"/>
            </w:tcMar>
            <w:vAlign w:val="center"/>
          </w:tcPr>
          <w:p w14:paraId="0A42014D" w14:textId="77777777" w:rsidR="002B0063" w:rsidRDefault="00000000">
            <w:pPr>
              <w:spacing w:after="0"/>
            </w:pPr>
            <w:r>
              <w:rPr>
                <w:b/>
                <w:color w:val="183B56"/>
              </w:rPr>
              <w:t>Authorization type</w:t>
            </w:r>
          </w:p>
        </w:tc>
        <w:tc>
          <w:tcPr>
            <w:tcW w:w="6912" w:type="dxa"/>
            <w:tcBorders>
              <w:top w:val="single" w:sz="4" w:space="0" w:color="D9E1E8"/>
              <w:left w:val="single" w:sz="4" w:space="0" w:color="D9E1E8"/>
              <w:bottom w:val="single" w:sz="4" w:space="0" w:color="D9E1E8"/>
              <w:right w:val="single" w:sz="4" w:space="0" w:color="D9E1E8"/>
            </w:tcBorders>
            <w:tcMar>
              <w:top w:w="100" w:type="dxa"/>
              <w:left w:w="120" w:type="dxa"/>
              <w:bottom w:w="100" w:type="dxa"/>
              <w:right w:w="120" w:type="dxa"/>
            </w:tcMar>
            <w:vAlign w:val="center"/>
          </w:tcPr>
          <w:p w14:paraId="2138AAA3" w14:textId="77777777" w:rsidR="002B0063" w:rsidRDefault="00000000">
            <w:pPr>
              <w:spacing w:after="0"/>
            </w:pPr>
            <w:r>
              <w:t>Horizontal privilege escalation</w:t>
            </w:r>
          </w:p>
        </w:tc>
      </w:tr>
      <w:tr w:rsidR="002B0063" w14:paraId="6D446349" w14:textId="77777777">
        <w:trPr>
          <w:jc w:val="center"/>
        </w:trPr>
        <w:tc>
          <w:tcPr>
            <w:tcW w:w="2592" w:type="dxa"/>
            <w:tcBorders>
              <w:top w:val="single" w:sz="4" w:space="0" w:color="D9E1E8"/>
              <w:left w:val="single" w:sz="4" w:space="0" w:color="D9E1E8"/>
              <w:bottom w:val="single" w:sz="4" w:space="0" w:color="D9E1E8"/>
              <w:right w:val="single" w:sz="4" w:space="0" w:color="D9E1E8"/>
            </w:tcBorders>
            <w:shd w:val="clear" w:color="auto" w:fill="EAF5F8"/>
            <w:tcMar>
              <w:top w:w="100" w:type="dxa"/>
              <w:left w:w="120" w:type="dxa"/>
              <w:bottom w:w="100" w:type="dxa"/>
              <w:right w:w="120" w:type="dxa"/>
            </w:tcMar>
            <w:vAlign w:val="center"/>
          </w:tcPr>
          <w:p w14:paraId="3B83108D" w14:textId="77777777" w:rsidR="002B0063" w:rsidRDefault="00000000">
            <w:pPr>
              <w:spacing w:after="0"/>
            </w:pPr>
            <w:r>
              <w:rPr>
                <w:b/>
                <w:color w:val="183B56"/>
              </w:rPr>
              <w:t>CWE</w:t>
            </w:r>
          </w:p>
        </w:tc>
        <w:tc>
          <w:tcPr>
            <w:tcW w:w="6912" w:type="dxa"/>
            <w:tcBorders>
              <w:top w:val="single" w:sz="4" w:space="0" w:color="D9E1E8"/>
              <w:left w:val="single" w:sz="4" w:space="0" w:color="D9E1E8"/>
              <w:bottom w:val="single" w:sz="4" w:space="0" w:color="D9E1E8"/>
              <w:right w:val="single" w:sz="4" w:space="0" w:color="D9E1E8"/>
            </w:tcBorders>
            <w:tcMar>
              <w:top w:w="100" w:type="dxa"/>
              <w:left w:w="120" w:type="dxa"/>
              <w:bottom w:w="100" w:type="dxa"/>
              <w:right w:w="120" w:type="dxa"/>
            </w:tcMar>
            <w:vAlign w:val="center"/>
          </w:tcPr>
          <w:p w14:paraId="2E1EC3A5" w14:textId="77777777" w:rsidR="002B0063" w:rsidRDefault="00000000">
            <w:pPr>
              <w:spacing w:after="0"/>
            </w:pPr>
            <w:r>
              <w:t>CWE-639 - Authorization Bypass Through User-Controlled Key</w:t>
            </w:r>
          </w:p>
        </w:tc>
      </w:tr>
      <w:tr w:rsidR="002B0063" w14:paraId="04FDFD0D" w14:textId="77777777">
        <w:trPr>
          <w:jc w:val="center"/>
        </w:trPr>
        <w:tc>
          <w:tcPr>
            <w:tcW w:w="2592" w:type="dxa"/>
            <w:tcBorders>
              <w:top w:val="single" w:sz="4" w:space="0" w:color="D9E1E8"/>
              <w:left w:val="single" w:sz="4" w:space="0" w:color="D9E1E8"/>
              <w:bottom w:val="single" w:sz="4" w:space="0" w:color="D9E1E8"/>
              <w:right w:val="single" w:sz="4" w:space="0" w:color="D9E1E8"/>
            </w:tcBorders>
            <w:shd w:val="clear" w:color="auto" w:fill="EAF5F8"/>
            <w:tcMar>
              <w:top w:w="100" w:type="dxa"/>
              <w:left w:w="120" w:type="dxa"/>
              <w:bottom w:w="100" w:type="dxa"/>
              <w:right w:w="120" w:type="dxa"/>
            </w:tcMar>
            <w:vAlign w:val="center"/>
          </w:tcPr>
          <w:p w14:paraId="73A1D942" w14:textId="77777777" w:rsidR="002B0063" w:rsidRDefault="00000000">
            <w:pPr>
              <w:spacing w:after="0"/>
            </w:pPr>
            <w:r>
              <w:rPr>
                <w:b/>
                <w:color w:val="183B56"/>
              </w:rPr>
              <w:t>OWASP mapping</w:t>
            </w:r>
          </w:p>
        </w:tc>
        <w:tc>
          <w:tcPr>
            <w:tcW w:w="6912" w:type="dxa"/>
            <w:tcBorders>
              <w:top w:val="single" w:sz="4" w:space="0" w:color="D9E1E8"/>
              <w:left w:val="single" w:sz="4" w:space="0" w:color="D9E1E8"/>
              <w:bottom w:val="single" w:sz="4" w:space="0" w:color="D9E1E8"/>
              <w:right w:val="single" w:sz="4" w:space="0" w:color="D9E1E8"/>
            </w:tcBorders>
            <w:tcMar>
              <w:top w:w="100" w:type="dxa"/>
              <w:left w:w="120" w:type="dxa"/>
              <w:bottom w:w="100" w:type="dxa"/>
              <w:right w:w="120" w:type="dxa"/>
            </w:tcMar>
            <w:vAlign w:val="center"/>
          </w:tcPr>
          <w:p w14:paraId="2318AEFE" w14:textId="77777777" w:rsidR="002B0063" w:rsidRDefault="00000000">
            <w:pPr>
              <w:spacing w:after="0"/>
            </w:pPr>
            <w:r>
              <w:t>A01:2025 Broken Access Control; API1:2023 Broken Object Level Authorization</w:t>
            </w:r>
          </w:p>
        </w:tc>
      </w:tr>
      <w:tr w:rsidR="002B0063" w14:paraId="449EE546" w14:textId="77777777">
        <w:trPr>
          <w:jc w:val="center"/>
        </w:trPr>
        <w:tc>
          <w:tcPr>
            <w:tcW w:w="2592" w:type="dxa"/>
            <w:tcBorders>
              <w:top w:val="single" w:sz="4" w:space="0" w:color="D9E1E8"/>
              <w:left w:val="single" w:sz="4" w:space="0" w:color="D9E1E8"/>
              <w:bottom w:val="single" w:sz="4" w:space="0" w:color="D9E1E8"/>
              <w:right w:val="single" w:sz="4" w:space="0" w:color="D9E1E8"/>
            </w:tcBorders>
            <w:shd w:val="clear" w:color="auto" w:fill="EAF5F8"/>
            <w:tcMar>
              <w:top w:w="100" w:type="dxa"/>
              <w:left w:w="120" w:type="dxa"/>
              <w:bottom w:w="100" w:type="dxa"/>
              <w:right w:w="120" w:type="dxa"/>
            </w:tcMar>
            <w:vAlign w:val="center"/>
          </w:tcPr>
          <w:p w14:paraId="1EE186BC" w14:textId="77777777" w:rsidR="002B0063" w:rsidRDefault="00000000">
            <w:pPr>
              <w:spacing w:after="0"/>
            </w:pPr>
            <w:r>
              <w:rPr>
                <w:b/>
                <w:color w:val="183B56"/>
              </w:rPr>
              <w:t>Authentication required</w:t>
            </w:r>
          </w:p>
        </w:tc>
        <w:tc>
          <w:tcPr>
            <w:tcW w:w="6912" w:type="dxa"/>
            <w:tcBorders>
              <w:top w:val="single" w:sz="4" w:space="0" w:color="D9E1E8"/>
              <w:left w:val="single" w:sz="4" w:space="0" w:color="D9E1E8"/>
              <w:bottom w:val="single" w:sz="4" w:space="0" w:color="D9E1E8"/>
              <w:right w:val="single" w:sz="4" w:space="0" w:color="D9E1E8"/>
            </w:tcBorders>
            <w:tcMar>
              <w:top w:w="100" w:type="dxa"/>
              <w:left w:w="120" w:type="dxa"/>
              <w:bottom w:w="100" w:type="dxa"/>
              <w:right w:w="120" w:type="dxa"/>
            </w:tcMar>
            <w:vAlign w:val="center"/>
          </w:tcPr>
          <w:p w14:paraId="4CFA97D0" w14:textId="77777777" w:rsidR="002B0063" w:rsidRDefault="00000000">
            <w:pPr>
              <w:spacing w:after="0"/>
            </w:pPr>
            <w:r>
              <w:t>Yes - tested with an authenticated standard user</w:t>
            </w:r>
          </w:p>
        </w:tc>
      </w:tr>
    </w:tbl>
    <w:p w14:paraId="1ECE78B0" w14:textId="3E9A4ADC" w:rsidR="002B0063" w:rsidRDefault="00000000">
      <w:pPr>
        <w:pStyle w:val="Heading2"/>
      </w:pPr>
      <w:r>
        <w:t xml:space="preserve">5.1 Vulnerability </w:t>
      </w:r>
      <w:r w:rsidR="00B168B5">
        <w:t>D</w:t>
      </w:r>
      <w:r>
        <w:t>escription</w:t>
      </w:r>
    </w:p>
    <w:p w14:paraId="71F8ABA3" w14:textId="77777777" w:rsidR="002B0063" w:rsidRDefault="00000000">
      <w:pPr>
        <w:pStyle w:val="BodyText"/>
      </w:pPr>
      <w:r>
        <w:t>The basket retrieval endpoint uses a client-supplied numeric identifier to select a basket. Although the request includes a valid authentication token, the server does not verify that the requested basket is owned by the authenticated account. As a result, an authenticated user can alter the identifier and retrieve another user's basket.</w:t>
      </w:r>
    </w:p>
    <w:p w14:paraId="6BDD72CA" w14:textId="77777777" w:rsidR="002B0063" w:rsidRDefault="00000000">
      <w:pPr>
        <w:pStyle w:val="BodyText"/>
      </w:pPr>
      <w:r>
        <w:t>The vulnerability is not caused merely by the use of sequential identifiers. Predictable IDs make discovery easier, but the underlying security failure is the absence of a server-side object ownership check on every request.</w:t>
      </w:r>
    </w:p>
    <w:p w14:paraId="2989A2D9" w14:textId="1F80748F" w:rsidR="002B0063" w:rsidRDefault="00000000">
      <w:pPr>
        <w:pStyle w:val="Heading2"/>
      </w:pPr>
      <w:r>
        <w:t xml:space="preserve">5.2 Why </w:t>
      </w:r>
      <w:proofErr w:type="gramStart"/>
      <w:r w:rsidR="00B168B5">
        <w:t>T</w:t>
      </w:r>
      <w:r>
        <w:t>he</w:t>
      </w:r>
      <w:proofErr w:type="gramEnd"/>
      <w:r>
        <w:t xml:space="preserve"> </w:t>
      </w:r>
      <w:r w:rsidR="00B168B5">
        <w:t>V</w:t>
      </w:r>
      <w:r>
        <w:t xml:space="preserve">ulnerability </w:t>
      </w:r>
      <w:r w:rsidR="00B168B5">
        <w:t>O</w:t>
      </w:r>
      <w:r>
        <w:t>ccurs</w:t>
      </w:r>
    </w:p>
    <w:p w14:paraId="2039353A" w14:textId="77777777" w:rsidR="002B0063" w:rsidRDefault="00000000">
      <w:pPr>
        <w:pStyle w:val="ListBullet"/>
      </w:pPr>
      <w:r>
        <w:t>The application trusts the basket ID supplied in the URL path.</w:t>
      </w:r>
    </w:p>
    <w:p w14:paraId="4DBBB61B" w14:textId="77777777" w:rsidR="002B0063" w:rsidRDefault="00000000">
      <w:pPr>
        <w:pStyle w:val="ListBullet"/>
      </w:pPr>
      <w:r>
        <w:t>Authentication confirms who the requester is, but the endpoint does not enforce authorization for the specific basket object.</w:t>
      </w:r>
    </w:p>
    <w:p w14:paraId="354600F4" w14:textId="77777777" w:rsidR="002B0063" w:rsidRDefault="00000000">
      <w:pPr>
        <w:pStyle w:val="ListBullet"/>
      </w:pPr>
      <w:r>
        <w:t>The requested object is returned based on its identifier without binding the database lookup to the authenticated user's identity.</w:t>
      </w:r>
    </w:p>
    <w:p w14:paraId="599F4DA2" w14:textId="0EE88283" w:rsidR="002B0063" w:rsidRDefault="00000000">
      <w:pPr>
        <w:pStyle w:val="Heading2"/>
      </w:pPr>
      <w:r>
        <w:t xml:space="preserve">5.3 Security </w:t>
      </w:r>
      <w:r w:rsidR="00B168B5">
        <w:t>I</w:t>
      </w:r>
      <w:r>
        <w:t>mpact</w:t>
      </w:r>
    </w:p>
    <w:p w14:paraId="4F721425" w14:textId="77777777" w:rsidR="002B0063" w:rsidRDefault="00000000">
      <w:pPr>
        <w:pStyle w:val="BodyText"/>
      </w:pPr>
      <w:r>
        <w:t>A malicious authenticated user could enumerate basket identifiers and access basket information belonging to other users. The confirmed exposure includes basket contents, product details, basket identifiers, and internal user identifiers. This represents a confidentiality breach and horizontal privilege escalation.</w:t>
      </w:r>
    </w:p>
    <w:p w14:paraId="667BB68A" w14:textId="119E5D9E" w:rsidR="002B0063" w:rsidRDefault="00BE22E2">
      <w:pPr>
        <w:pStyle w:val="BodyText"/>
      </w:pPr>
      <w:r w:rsidRPr="00BE22E2">
        <w:t>In this assessment, the exposed information was limited to product names, prices, and quantities. However, the main problem is the missing ownership check at the endpoint, not the type of data stored in the basket. In a production e-commerce application, the same insecure access-control pattern could affect other endpoints and expose more sensitive information, such as order history, saved addresses, or payment-related data</w:t>
      </w:r>
      <w:r>
        <w:t>.</w:t>
      </w:r>
    </w:p>
    <w:p w14:paraId="3316C9F0" w14:textId="37671DEE" w:rsidR="002B0063" w:rsidRDefault="00000000">
      <w:pPr>
        <w:pStyle w:val="BodyText"/>
      </w:pPr>
      <w:r>
        <w:t>Read-level IDOR exposure also carries risk beyond the directly disclosed data. An attacker able to enumerate basket identifiers can harvest information about other users at scale, which can support follow-</w:t>
      </w:r>
      <w:r w:rsidR="00BE22E2">
        <w:t>up</w:t>
      </w:r>
      <w:r>
        <w:t xml:space="preserve"> activity such as targeted social engineering or further reconnaissance against the application, even where no data is directly modified.</w:t>
      </w:r>
    </w:p>
    <w:p w14:paraId="0C4DD50E" w14:textId="77777777" w:rsidR="002B0063" w:rsidRDefault="00000000">
      <w:pPr>
        <w:pStyle w:val="BodyText"/>
      </w:pPr>
      <w:r>
        <w:rPr>
          <w:b/>
        </w:rPr>
        <w:lastRenderedPageBreak/>
        <w:t>Scope limitation:</w:t>
      </w:r>
      <w:r>
        <w:t xml:space="preserve"> This assessment confirmed unauthorized read access only. It did not test whether the same authorization weakness affects basket modification, deletion, quantity changes, checkout, or other HTTP methods. Those impacts require separate validation.</w:t>
      </w:r>
    </w:p>
    <w:p w14:paraId="20F33DE6" w14:textId="680DBA45" w:rsidR="002B0063" w:rsidRDefault="00000000">
      <w:pPr>
        <w:pStyle w:val="Heading2"/>
      </w:pPr>
      <w:r>
        <w:t xml:space="preserve">5.4 Affected </w:t>
      </w:r>
      <w:r w:rsidR="00B168B5">
        <w:t>S</w:t>
      </w:r>
      <w:r>
        <w:t xml:space="preserve">ystems </w:t>
      </w:r>
      <w:proofErr w:type="gramStart"/>
      <w:r w:rsidR="00B168B5">
        <w:t>A</w:t>
      </w:r>
      <w:r>
        <w:t>nd</w:t>
      </w:r>
      <w:proofErr w:type="gramEnd"/>
      <w:r>
        <w:t xml:space="preserve"> </w:t>
      </w:r>
      <w:r w:rsidR="00B168B5">
        <w:t>U</w:t>
      </w:r>
      <w:r>
        <w:t>sers</w:t>
      </w:r>
    </w:p>
    <w:p w14:paraId="2E9A62CB" w14:textId="77777777" w:rsidR="002B0063" w:rsidRDefault="00000000">
      <w:pPr>
        <w:pStyle w:val="ListBullet"/>
      </w:pPr>
      <w:r>
        <w:t>The GET /rest/basket/{basketId} endpoint in the tested Juice Shop instance.</w:t>
      </w:r>
    </w:p>
    <w:p w14:paraId="73CCCF19" w14:textId="77777777" w:rsidR="002B0063" w:rsidRDefault="00000000">
      <w:pPr>
        <w:pStyle w:val="ListBullet"/>
      </w:pPr>
      <w:r>
        <w:t>Authenticated users whose basket identifiers can be predicted or discovered.</w:t>
      </w:r>
    </w:p>
    <w:p w14:paraId="1331EB9E" w14:textId="77777777" w:rsidR="002B0063" w:rsidRDefault="00000000">
      <w:pPr>
        <w:pStyle w:val="ListBullet"/>
      </w:pPr>
      <w:r>
        <w:t>Any application component or API operation that reuses the same basket lookup logic without an ownership check.</w:t>
      </w:r>
    </w:p>
    <w:p w14:paraId="7D28D7D9" w14:textId="77777777" w:rsidR="002B0063" w:rsidRDefault="00000000">
      <w:pPr>
        <w:pStyle w:val="Heading1"/>
      </w:pPr>
      <w:r>
        <w:t>6. Proof of Concept</w:t>
      </w:r>
    </w:p>
    <w:p w14:paraId="22ED9CAA" w14:textId="77777777" w:rsidR="002B0063" w:rsidRDefault="00000000">
      <w:pPr>
        <w:pStyle w:val="Heading2"/>
      </w:pPr>
      <w:r>
        <w:t>6.1 Preconditions</w:t>
      </w:r>
    </w:p>
    <w:p w14:paraId="109FF0EA" w14:textId="77777777" w:rsidR="002B0063" w:rsidRDefault="00000000">
      <w:pPr>
        <w:pStyle w:val="ListBullet"/>
      </w:pPr>
      <w:r>
        <w:t>Two researcher-controlled Juice Shop accounts were created.</w:t>
      </w:r>
    </w:p>
    <w:p w14:paraId="62E9FB9A" w14:textId="77777777" w:rsidR="002B0063" w:rsidRDefault="00000000">
      <w:pPr>
        <w:pStyle w:val="ListBullet"/>
      </w:pPr>
      <w:r>
        <w:t>Each account was assigned a distinct basket and product.</w:t>
      </w:r>
    </w:p>
    <w:p w14:paraId="45661E6F" w14:textId="77777777" w:rsidR="002B0063" w:rsidRDefault="00000000">
      <w:pPr>
        <w:pStyle w:val="ListBullet"/>
      </w:pPr>
      <w:r>
        <w:t>Burp Suite proxying was enabled, and requests were captured from the local application.</w:t>
      </w:r>
    </w:p>
    <w:p w14:paraId="79AA59D8" w14:textId="03139F12" w:rsidR="002B0063" w:rsidRDefault="00000000">
      <w:pPr>
        <w:pStyle w:val="Heading2"/>
      </w:pPr>
      <w:r>
        <w:t xml:space="preserve">6.2 Steps to </w:t>
      </w:r>
      <w:r w:rsidR="00B168B5">
        <w:t>R</w:t>
      </w:r>
      <w:r>
        <w:t>eproduce</w:t>
      </w:r>
    </w:p>
    <w:p w14:paraId="1745A54A" w14:textId="77777777" w:rsidR="002B0063" w:rsidRDefault="00000000">
      <w:pPr>
        <w:pStyle w:val="ListNumber"/>
      </w:pPr>
      <w:r>
        <w:t>Confirm Test User A legitimately owns basket 7 (UserId 7) containing “Fruit Press”.</w:t>
      </w:r>
    </w:p>
    <w:p w14:paraId="65E2B80F" w14:textId="77777777" w:rsidR="002B0063" w:rsidRDefault="00000000">
      <w:pPr>
        <w:pStyle w:val="ListNumber"/>
      </w:pPr>
      <w:r>
        <w:t>Confirm Test User B legitimately owns basket 8 (UserId 8) containing “Basil Smoothie”.</w:t>
      </w:r>
    </w:p>
    <w:p w14:paraId="45BC0FC9" w14:textId="77777777" w:rsidR="002B0063" w:rsidRDefault="00000000">
      <w:pPr>
        <w:pStyle w:val="ListNumber"/>
      </w:pPr>
      <w:r>
        <w:t>Capture Test User B's GET /rest/basket/8 request and send it to Burp Repeater.</w:t>
      </w:r>
    </w:p>
    <w:p w14:paraId="5AB660EB" w14:textId="77777777" w:rsidR="002B0063" w:rsidRDefault="00000000">
      <w:pPr>
        <w:pStyle w:val="ListNumber"/>
      </w:pPr>
      <w:r>
        <w:t>Change only the path to /rest/basket/7, leaving Test User B's Authorization header and session cookies unchanged, then send the request.</w:t>
      </w:r>
    </w:p>
    <w:p w14:paraId="21B0FB7A" w14:textId="77777777" w:rsidR="002B0063" w:rsidRDefault="00000000">
      <w:pPr>
        <w:pStyle w:val="ListNumber"/>
      </w:pPr>
      <w:r>
        <w:t>Observe HTTP 200 OK with basket 7, UserId 7, and Test User A's “Fruit Press” product.</w:t>
      </w:r>
    </w:p>
    <w:p w14:paraId="1DAC4493" w14:textId="502A5CB2" w:rsidR="002B0063" w:rsidRDefault="00000000">
      <w:pPr>
        <w:pStyle w:val="Heading2"/>
      </w:pPr>
      <w:r>
        <w:t xml:space="preserve">6.3 Expected </w:t>
      </w:r>
      <w:proofErr w:type="gramStart"/>
      <w:r w:rsidR="00B168B5">
        <w:t>And</w:t>
      </w:r>
      <w:proofErr w:type="gramEnd"/>
      <w:r w:rsidR="00B168B5">
        <w:t xml:space="preserve"> Actual Results</w:t>
      </w:r>
    </w:p>
    <w:tbl>
      <w:tblPr>
        <w:tblW w:w="0" w:type="auto"/>
        <w:jc w:val="center"/>
        <w:tblLayout w:type="fixed"/>
        <w:tblLook w:val="04A0" w:firstRow="1" w:lastRow="0" w:firstColumn="1" w:lastColumn="0" w:noHBand="0" w:noVBand="1"/>
      </w:tblPr>
      <w:tblGrid>
        <w:gridCol w:w="4752"/>
        <w:gridCol w:w="4752"/>
      </w:tblGrid>
      <w:tr w:rsidR="002B0063" w14:paraId="30A9376A" w14:textId="77777777">
        <w:trPr>
          <w:jc w:val="center"/>
        </w:trPr>
        <w:tc>
          <w:tcPr>
            <w:tcW w:w="4752" w:type="dxa"/>
            <w:shd w:val="clear" w:color="auto" w:fill="183B56"/>
            <w:tcMar>
              <w:top w:w="100" w:type="dxa"/>
              <w:left w:w="120" w:type="dxa"/>
              <w:bottom w:w="100" w:type="dxa"/>
              <w:right w:w="120" w:type="dxa"/>
            </w:tcMar>
          </w:tcPr>
          <w:p w14:paraId="74CF794A" w14:textId="77777777" w:rsidR="002B0063" w:rsidRDefault="00000000">
            <w:pPr>
              <w:spacing w:after="0"/>
              <w:jc w:val="center"/>
            </w:pPr>
            <w:r>
              <w:rPr>
                <w:b/>
                <w:color w:val="FFFFFF"/>
              </w:rPr>
              <w:t>Expected secure result</w:t>
            </w:r>
          </w:p>
        </w:tc>
        <w:tc>
          <w:tcPr>
            <w:tcW w:w="4752" w:type="dxa"/>
            <w:shd w:val="clear" w:color="auto" w:fill="183B56"/>
            <w:tcMar>
              <w:top w:w="100" w:type="dxa"/>
              <w:left w:w="120" w:type="dxa"/>
              <w:bottom w:w="100" w:type="dxa"/>
              <w:right w:w="120" w:type="dxa"/>
            </w:tcMar>
          </w:tcPr>
          <w:p w14:paraId="566D0D6F" w14:textId="77777777" w:rsidR="002B0063" w:rsidRDefault="00000000">
            <w:pPr>
              <w:spacing w:after="0"/>
              <w:jc w:val="center"/>
            </w:pPr>
            <w:r>
              <w:rPr>
                <w:b/>
                <w:color w:val="FFFFFF"/>
              </w:rPr>
              <w:t>Actual result</w:t>
            </w:r>
          </w:p>
        </w:tc>
      </w:tr>
      <w:tr w:rsidR="002B0063" w14:paraId="27937B81" w14:textId="77777777">
        <w:trPr>
          <w:jc w:val="center"/>
        </w:trPr>
        <w:tc>
          <w:tcPr>
            <w:tcW w:w="4752" w:type="dxa"/>
            <w:tcBorders>
              <w:top w:val="single" w:sz="4" w:space="0" w:color="D9E1E8"/>
              <w:left w:val="single" w:sz="4" w:space="0" w:color="D9E1E8"/>
              <w:bottom w:val="single" w:sz="4" w:space="0" w:color="D9E1E8"/>
              <w:right w:val="single" w:sz="4" w:space="0" w:color="D9E1E8"/>
            </w:tcBorders>
            <w:shd w:val="clear" w:color="auto" w:fill="FFFFFF"/>
            <w:tcMar>
              <w:top w:w="100" w:type="dxa"/>
              <w:left w:w="120" w:type="dxa"/>
              <w:bottom w:w="100" w:type="dxa"/>
              <w:right w:w="120" w:type="dxa"/>
            </w:tcMar>
          </w:tcPr>
          <w:p w14:paraId="66BF9A0C" w14:textId="77777777" w:rsidR="002B0063" w:rsidRDefault="00000000">
            <w:pPr>
              <w:spacing w:after="0"/>
            </w:pPr>
            <w:r>
              <w:t>The server verifies that basket 7 belongs to the authenticated user. Because Test User B does not own basket 7, the application returns 403 Forbidden or a non-enumerating 404 Not Found response.</w:t>
            </w:r>
          </w:p>
        </w:tc>
        <w:tc>
          <w:tcPr>
            <w:tcW w:w="4752" w:type="dxa"/>
            <w:tcBorders>
              <w:top w:val="single" w:sz="4" w:space="0" w:color="D9E1E8"/>
              <w:left w:val="single" w:sz="4" w:space="0" w:color="D9E1E8"/>
              <w:bottom w:val="single" w:sz="4" w:space="0" w:color="D9E1E8"/>
              <w:right w:val="single" w:sz="4" w:space="0" w:color="D9E1E8"/>
            </w:tcBorders>
            <w:shd w:val="clear" w:color="auto" w:fill="FDECEC"/>
            <w:tcMar>
              <w:top w:w="100" w:type="dxa"/>
              <w:left w:w="120" w:type="dxa"/>
              <w:bottom w:w="100" w:type="dxa"/>
              <w:right w:w="120" w:type="dxa"/>
            </w:tcMar>
          </w:tcPr>
          <w:p w14:paraId="5F85B592" w14:textId="77777777" w:rsidR="002B0063" w:rsidRDefault="00000000">
            <w:pPr>
              <w:spacing w:after="0"/>
            </w:pPr>
            <w:r>
              <w:t>The server returns HTTP 200 OK and discloses basket 7 to Test User B.</w:t>
            </w:r>
          </w:p>
        </w:tc>
      </w:tr>
      <w:tr w:rsidR="002B0063" w14:paraId="6ACBDDFB" w14:textId="77777777">
        <w:trPr>
          <w:jc w:val="center"/>
        </w:trPr>
        <w:tc>
          <w:tcPr>
            <w:tcW w:w="4752" w:type="dxa"/>
            <w:tcBorders>
              <w:top w:val="single" w:sz="4" w:space="0" w:color="D9E1E8"/>
              <w:left w:val="single" w:sz="4" w:space="0" w:color="D9E1E8"/>
              <w:bottom w:val="single" w:sz="4" w:space="0" w:color="D9E1E8"/>
              <w:right w:val="single" w:sz="4" w:space="0" w:color="D9E1E8"/>
            </w:tcBorders>
            <w:shd w:val="clear" w:color="auto" w:fill="FFFFFF"/>
            <w:tcMar>
              <w:top w:w="100" w:type="dxa"/>
              <w:left w:w="120" w:type="dxa"/>
              <w:bottom w:w="100" w:type="dxa"/>
              <w:right w:w="120" w:type="dxa"/>
            </w:tcMar>
          </w:tcPr>
          <w:p w14:paraId="5FF5D90E" w14:textId="77777777" w:rsidR="002B0063" w:rsidRDefault="00000000">
            <w:pPr>
              <w:spacing w:after="0"/>
            </w:pPr>
            <w:r>
              <w:t>The response does not include data belonging to another account.</w:t>
            </w:r>
          </w:p>
        </w:tc>
        <w:tc>
          <w:tcPr>
            <w:tcW w:w="4752" w:type="dxa"/>
            <w:tcBorders>
              <w:top w:val="single" w:sz="4" w:space="0" w:color="D9E1E8"/>
              <w:left w:val="single" w:sz="4" w:space="0" w:color="D9E1E8"/>
              <w:bottom w:val="single" w:sz="4" w:space="0" w:color="D9E1E8"/>
              <w:right w:val="single" w:sz="4" w:space="0" w:color="D9E1E8"/>
            </w:tcBorders>
            <w:shd w:val="clear" w:color="auto" w:fill="FDECEC"/>
            <w:tcMar>
              <w:top w:w="100" w:type="dxa"/>
              <w:left w:w="120" w:type="dxa"/>
              <w:bottom w:w="100" w:type="dxa"/>
              <w:right w:w="120" w:type="dxa"/>
            </w:tcMar>
          </w:tcPr>
          <w:p w14:paraId="7594DC14" w14:textId="77777777" w:rsidR="002B0063" w:rsidRDefault="00000000">
            <w:pPr>
              <w:spacing w:after="0"/>
            </w:pPr>
            <w:r>
              <w:t>The response includes internal UserId 7 and the “Fruit Press” product associated with Test User A.</w:t>
            </w:r>
          </w:p>
        </w:tc>
      </w:tr>
    </w:tbl>
    <w:p w14:paraId="2A0FC39F" w14:textId="07ADE19D" w:rsidR="002B0063" w:rsidRDefault="00000000">
      <w:pPr>
        <w:pStyle w:val="Heading2"/>
      </w:pPr>
      <w:r>
        <w:t xml:space="preserve">6.4 Sanitized </w:t>
      </w:r>
      <w:r w:rsidR="00B168B5">
        <w:t xml:space="preserve">Request </w:t>
      </w:r>
      <w:proofErr w:type="gramStart"/>
      <w:r w:rsidR="00B168B5">
        <w:t>And</w:t>
      </w:r>
      <w:proofErr w:type="gramEnd"/>
      <w:r w:rsidR="00B168B5">
        <w:t xml:space="preserve"> Response Excerpts</w:t>
      </w:r>
    </w:p>
    <w:tbl>
      <w:tblPr>
        <w:tblW w:w="0" w:type="auto"/>
        <w:jc w:val="center"/>
        <w:tblLook w:val="04A0" w:firstRow="1" w:lastRow="0" w:firstColumn="1" w:lastColumn="0" w:noHBand="0" w:noVBand="1"/>
      </w:tblPr>
      <w:tblGrid>
        <w:gridCol w:w="10080"/>
      </w:tblGrid>
      <w:tr w:rsidR="002B0063" w14:paraId="0CA77A36" w14:textId="77777777">
        <w:trPr>
          <w:jc w:val="center"/>
        </w:trPr>
        <w:tc>
          <w:tcPr>
            <w:tcW w:w="10080" w:type="dxa"/>
            <w:tcBorders>
              <w:top w:val="single" w:sz="4" w:space="0" w:color="C8CDD3"/>
              <w:left w:val="single" w:sz="4" w:space="0" w:color="C8CDD3"/>
              <w:bottom w:val="single" w:sz="4" w:space="0" w:color="C8CDD3"/>
              <w:right w:val="single" w:sz="4" w:space="0" w:color="C8CDD3"/>
            </w:tcBorders>
            <w:shd w:val="clear" w:color="auto" w:fill="F7F7F7"/>
            <w:tcMar>
              <w:top w:w="70" w:type="dxa"/>
              <w:left w:w="100" w:type="dxa"/>
              <w:bottom w:w="70" w:type="dxa"/>
              <w:right w:w="100" w:type="dxa"/>
            </w:tcMar>
          </w:tcPr>
          <w:p w14:paraId="39D071B8" w14:textId="77777777" w:rsidR="002B0063" w:rsidRDefault="00000000">
            <w:pPr>
              <w:spacing w:after="0"/>
            </w:pPr>
            <w:r>
              <w:rPr>
                <w:rFonts w:ascii="DejaVu Sans Mono" w:eastAsia="DejaVu Sans Mono" w:hAnsi="DejaVu Sans Mono"/>
                <w:sz w:val="15"/>
              </w:rPr>
              <w:t>LEGITIMATE USER B</w:t>
            </w:r>
            <w:r>
              <w:rPr>
                <w:rFonts w:ascii="DejaVu Sans Mono" w:eastAsia="DejaVu Sans Mono" w:hAnsi="DejaVu Sans Mono"/>
                <w:sz w:val="15"/>
              </w:rPr>
              <w:br/>
              <w:t>GET /rest/basket/8 HTTP/1.1</w:t>
            </w:r>
            <w:r>
              <w:rPr>
                <w:rFonts w:ascii="DejaVu Sans Mono" w:eastAsia="DejaVu Sans Mono" w:hAnsi="DejaVu Sans Mono"/>
                <w:sz w:val="15"/>
              </w:rPr>
              <w:br/>
              <w:t>Authorization/Cookie: [REDACTED]</w:t>
            </w:r>
            <w:r>
              <w:rPr>
                <w:rFonts w:ascii="DejaVu Sans Mono" w:eastAsia="DejaVu Sans Mono" w:hAnsi="DejaVu Sans Mono"/>
                <w:sz w:val="15"/>
              </w:rPr>
              <w:br/>
              <w:t>HTTP/1.1 200 OK</w:t>
            </w:r>
            <w:r>
              <w:rPr>
                <w:rFonts w:ascii="DejaVu Sans Mono" w:eastAsia="DejaVu Sans Mono" w:hAnsi="DejaVu Sans Mono"/>
                <w:sz w:val="15"/>
              </w:rPr>
              <w:br/>
              <w:t>{ "data": { "id": 8, "UserId": 8, ... } }</w:t>
            </w:r>
            <w:r>
              <w:rPr>
                <w:rFonts w:ascii="DejaVu Sans Mono" w:eastAsia="DejaVu Sans Mono" w:hAnsi="DejaVu Sans Mono"/>
                <w:sz w:val="15"/>
              </w:rPr>
              <w:br/>
            </w:r>
            <w:r>
              <w:rPr>
                <w:rFonts w:ascii="DejaVu Sans Mono" w:eastAsia="DejaVu Sans Mono" w:hAnsi="DejaVu Sans Mono"/>
                <w:sz w:val="15"/>
              </w:rPr>
              <w:br/>
              <w:t>TAMPERED WHILE STILL AUTHENTICATED AS USER B</w:t>
            </w:r>
            <w:r>
              <w:rPr>
                <w:rFonts w:ascii="DejaVu Sans Mono" w:eastAsia="DejaVu Sans Mono" w:hAnsi="DejaVu Sans Mono"/>
                <w:sz w:val="15"/>
              </w:rPr>
              <w:br/>
              <w:t>GET /rest/basket/7 HTTP/1.1</w:t>
            </w:r>
            <w:r>
              <w:rPr>
                <w:rFonts w:ascii="DejaVu Sans Mono" w:eastAsia="DejaVu Sans Mono" w:hAnsi="DejaVu Sans Mono"/>
                <w:sz w:val="15"/>
              </w:rPr>
              <w:br/>
              <w:t>Authorization/Cookie: [SAME USER B VALUES - REDACTED]</w:t>
            </w:r>
            <w:r>
              <w:rPr>
                <w:rFonts w:ascii="DejaVu Sans Mono" w:eastAsia="DejaVu Sans Mono" w:hAnsi="DejaVu Sans Mono"/>
                <w:sz w:val="15"/>
              </w:rPr>
              <w:br/>
              <w:t>HTTP/1.1 200 OK</w:t>
            </w:r>
            <w:r>
              <w:rPr>
                <w:rFonts w:ascii="DejaVu Sans Mono" w:eastAsia="DejaVu Sans Mono" w:hAnsi="DejaVu Sans Mono"/>
                <w:sz w:val="15"/>
              </w:rPr>
              <w:br/>
              <w:t>{ "data": { "id": 7, "UserId": 7, "Products": [{ "name": "Fruit Press" }] } }</w:t>
            </w:r>
          </w:p>
        </w:tc>
      </w:tr>
    </w:tbl>
    <w:p w14:paraId="22A72F83" w14:textId="3E186997" w:rsidR="002B0063" w:rsidRDefault="00000000" w:rsidP="00BE22E2">
      <w:pPr>
        <w:pStyle w:val="Heading1"/>
      </w:pPr>
      <w:r>
        <w:lastRenderedPageBreak/>
        <w:t>7. Evidence</w:t>
      </w:r>
    </w:p>
    <w:p w14:paraId="02D68571" w14:textId="77777777" w:rsidR="002B0063" w:rsidRDefault="00000000">
      <w:pPr>
        <w:pStyle w:val="BodyText"/>
      </w:pPr>
      <w:r>
        <w:t>All screenshots below were captured from the authorized local lab. Authentication tokens and session cookies were redacted before inclusion.</w:t>
      </w:r>
    </w:p>
    <w:p w14:paraId="7AC9F326" w14:textId="4F316687" w:rsidR="002B0063" w:rsidRDefault="00000000">
      <w:pPr>
        <w:pStyle w:val="Heading2"/>
      </w:pPr>
      <w:r>
        <w:t xml:space="preserve">7.1 Figure </w:t>
      </w:r>
      <w:r w:rsidR="008C63E6">
        <w:t>3</w:t>
      </w:r>
      <w:r>
        <w:t xml:space="preserve"> - Legitimate Basket Access (Test User A)</w:t>
      </w:r>
    </w:p>
    <w:p w14:paraId="3081F45D" w14:textId="36E8CB51" w:rsidR="002B0063" w:rsidRDefault="008C63E6">
      <w:pPr>
        <w:keepNext/>
        <w:jc w:val="center"/>
      </w:pPr>
      <w:r>
        <w:rPr>
          <w:noProof/>
        </w:rPr>
        <w:drawing>
          <wp:inline distT="0" distB="0" distL="0" distR="0" wp14:anchorId="1BCCBFDD" wp14:editId="4E9D12A9">
            <wp:extent cx="6400800" cy="3893185"/>
            <wp:effectExtent l="0" t="0" r="0" b="0"/>
            <wp:docPr id="15586656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65677" name="Picture 1558665677"/>
                    <pic:cNvPicPr/>
                  </pic:nvPicPr>
                  <pic:blipFill>
                    <a:blip r:embed="rId10"/>
                    <a:stretch>
                      <a:fillRect/>
                    </a:stretch>
                  </pic:blipFill>
                  <pic:spPr>
                    <a:xfrm>
                      <a:off x="0" y="0"/>
                      <a:ext cx="6400800" cy="3893185"/>
                    </a:xfrm>
                    <a:prstGeom prst="rect">
                      <a:avLst/>
                    </a:prstGeom>
                  </pic:spPr>
                </pic:pic>
              </a:graphicData>
            </a:graphic>
          </wp:inline>
        </w:drawing>
      </w:r>
    </w:p>
    <w:p w14:paraId="0488726C" w14:textId="1F6A47F7" w:rsidR="002B0063" w:rsidRDefault="00000000" w:rsidP="004565E5">
      <w:pPr>
        <w:spacing w:after="160"/>
      </w:pPr>
      <w:r>
        <w:rPr>
          <w:i/>
          <w:color w:val="5A5A5A"/>
          <w:sz w:val="18"/>
        </w:rPr>
        <w:t xml:space="preserve">Figure </w:t>
      </w:r>
      <w:r w:rsidR="008C63E6">
        <w:rPr>
          <w:i/>
          <w:color w:val="5A5A5A"/>
          <w:sz w:val="18"/>
        </w:rPr>
        <w:t>3</w:t>
      </w:r>
      <w:r>
        <w:rPr>
          <w:i/>
          <w:color w:val="5A5A5A"/>
          <w:sz w:val="18"/>
        </w:rPr>
        <w:t>. Test User A legitimately retrieves basket 7, which returns internal UserId 7 and the “Fruit Press” product.</w:t>
      </w:r>
    </w:p>
    <w:p w14:paraId="019A5C86" w14:textId="77777777" w:rsidR="002B0063" w:rsidRDefault="00000000">
      <w:r>
        <w:br w:type="page"/>
      </w:r>
    </w:p>
    <w:p w14:paraId="19DC3881" w14:textId="79F3DCDA" w:rsidR="002B0063" w:rsidRDefault="00000000">
      <w:pPr>
        <w:pStyle w:val="Heading2"/>
      </w:pPr>
      <w:r>
        <w:lastRenderedPageBreak/>
        <w:t xml:space="preserve">7.2 Figure </w:t>
      </w:r>
      <w:r w:rsidR="008C63E6">
        <w:t>4</w:t>
      </w:r>
      <w:r>
        <w:t xml:space="preserve"> - Legitimate Basket Access (Test User B)</w:t>
      </w:r>
    </w:p>
    <w:p w14:paraId="30706CB4" w14:textId="4F00B273" w:rsidR="002B0063" w:rsidRDefault="008C63E6">
      <w:pPr>
        <w:keepNext/>
        <w:jc w:val="center"/>
      </w:pPr>
      <w:r>
        <w:rPr>
          <w:noProof/>
        </w:rPr>
        <w:drawing>
          <wp:inline distT="0" distB="0" distL="0" distR="0" wp14:anchorId="68CAC708" wp14:editId="65936DC2">
            <wp:extent cx="6400800" cy="3888105"/>
            <wp:effectExtent l="0" t="0" r="0" b="0"/>
            <wp:docPr id="14389584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958457" name="Picture 1438958457"/>
                    <pic:cNvPicPr/>
                  </pic:nvPicPr>
                  <pic:blipFill>
                    <a:blip r:embed="rId11"/>
                    <a:stretch>
                      <a:fillRect/>
                    </a:stretch>
                  </pic:blipFill>
                  <pic:spPr>
                    <a:xfrm>
                      <a:off x="0" y="0"/>
                      <a:ext cx="6400800" cy="3888105"/>
                    </a:xfrm>
                    <a:prstGeom prst="rect">
                      <a:avLst/>
                    </a:prstGeom>
                  </pic:spPr>
                </pic:pic>
              </a:graphicData>
            </a:graphic>
          </wp:inline>
        </w:drawing>
      </w:r>
    </w:p>
    <w:p w14:paraId="64071170" w14:textId="2C38E0FF" w:rsidR="002B0063" w:rsidRDefault="00000000" w:rsidP="008C63E6">
      <w:pPr>
        <w:spacing w:after="160"/>
      </w:pPr>
      <w:r>
        <w:rPr>
          <w:i/>
          <w:color w:val="5A5A5A"/>
          <w:sz w:val="18"/>
        </w:rPr>
        <w:t xml:space="preserve">Figure </w:t>
      </w:r>
      <w:r w:rsidR="008C63E6">
        <w:rPr>
          <w:i/>
          <w:color w:val="5A5A5A"/>
          <w:sz w:val="18"/>
        </w:rPr>
        <w:t>4</w:t>
      </w:r>
      <w:r>
        <w:rPr>
          <w:i/>
          <w:color w:val="5A5A5A"/>
          <w:sz w:val="18"/>
        </w:rPr>
        <w:t>. Test User B legitimately retrieves basket 8, which returns internal UserId 8 and the “Basil Smoothie” product.</w:t>
      </w:r>
    </w:p>
    <w:p w14:paraId="7E34E849" w14:textId="77777777" w:rsidR="002B0063" w:rsidRDefault="00000000">
      <w:r>
        <w:br w:type="page"/>
      </w:r>
    </w:p>
    <w:p w14:paraId="4EC044EF" w14:textId="675BA6C2" w:rsidR="002B0063" w:rsidRDefault="00000000">
      <w:pPr>
        <w:pStyle w:val="Heading2"/>
      </w:pPr>
      <w:r>
        <w:lastRenderedPageBreak/>
        <w:t xml:space="preserve">7.3 Figure </w:t>
      </w:r>
      <w:r w:rsidR="008C63E6">
        <w:t>5</w:t>
      </w:r>
      <w:r>
        <w:t xml:space="preserve"> - Exploit Request in Burp Repeater</w:t>
      </w:r>
    </w:p>
    <w:p w14:paraId="41216DF3" w14:textId="1FB2D7DC" w:rsidR="002B0063" w:rsidRDefault="008C63E6">
      <w:pPr>
        <w:keepNext/>
        <w:jc w:val="center"/>
      </w:pPr>
      <w:r>
        <w:rPr>
          <w:noProof/>
        </w:rPr>
        <w:drawing>
          <wp:inline distT="0" distB="0" distL="0" distR="0" wp14:anchorId="2B0FD6F5" wp14:editId="69A23E85">
            <wp:extent cx="6400800" cy="3895725"/>
            <wp:effectExtent l="0" t="0" r="0" b="9525"/>
            <wp:docPr id="1021295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9565" name="Picture 102129565"/>
                    <pic:cNvPicPr/>
                  </pic:nvPicPr>
                  <pic:blipFill>
                    <a:blip r:embed="rId12"/>
                    <a:stretch>
                      <a:fillRect/>
                    </a:stretch>
                  </pic:blipFill>
                  <pic:spPr>
                    <a:xfrm>
                      <a:off x="0" y="0"/>
                      <a:ext cx="6400800" cy="3895725"/>
                    </a:xfrm>
                    <a:prstGeom prst="rect">
                      <a:avLst/>
                    </a:prstGeom>
                  </pic:spPr>
                </pic:pic>
              </a:graphicData>
            </a:graphic>
          </wp:inline>
        </w:drawing>
      </w:r>
    </w:p>
    <w:p w14:paraId="3A83D70C" w14:textId="5E9C930D" w:rsidR="002B0063" w:rsidRDefault="00000000" w:rsidP="008C63E6">
      <w:pPr>
        <w:spacing w:after="160"/>
      </w:pPr>
      <w:r>
        <w:rPr>
          <w:i/>
          <w:color w:val="5A5A5A"/>
          <w:sz w:val="18"/>
        </w:rPr>
        <w:t xml:space="preserve">Figure </w:t>
      </w:r>
      <w:r w:rsidR="008C63E6">
        <w:rPr>
          <w:i/>
          <w:color w:val="5A5A5A"/>
          <w:sz w:val="18"/>
        </w:rPr>
        <w:t>5</w:t>
      </w:r>
      <w:r>
        <w:rPr>
          <w:i/>
          <w:color w:val="5A5A5A"/>
          <w:sz w:val="18"/>
        </w:rPr>
        <w:t>. In Burp Repeater, the request is changed to GET /rest/basket/7 while Test User B remains authenticated. The server returns HTTP 200 OK and discloses Test User A’s basket data.</w:t>
      </w:r>
    </w:p>
    <w:p w14:paraId="6EDDC40B" w14:textId="77777777" w:rsidR="002B0063" w:rsidRDefault="00000000">
      <w:r>
        <w:br w:type="page"/>
      </w:r>
    </w:p>
    <w:p w14:paraId="4CB6CE49" w14:textId="77777777" w:rsidR="002B0063" w:rsidRDefault="00000000">
      <w:pPr>
        <w:pStyle w:val="Heading1"/>
      </w:pPr>
      <w:r>
        <w:lastRenderedPageBreak/>
        <w:t>8. Remediation Recommendations</w:t>
      </w:r>
    </w:p>
    <w:p w14:paraId="1C149CC4" w14:textId="63953C77" w:rsidR="002B0063" w:rsidRDefault="00000000">
      <w:pPr>
        <w:pStyle w:val="Heading2"/>
      </w:pPr>
      <w:r>
        <w:t xml:space="preserve">8.1 Enforce </w:t>
      </w:r>
      <w:r w:rsidR="00B168B5">
        <w:t>Object-Level Authorization</w:t>
      </w:r>
    </w:p>
    <w:p w14:paraId="5DCEC14D" w14:textId="77777777" w:rsidR="002B0063" w:rsidRDefault="00000000">
      <w:pPr>
        <w:pStyle w:val="BodyText"/>
      </w:pPr>
      <w:r>
        <w:t>For every request that accesses a basket, the server must verify that the basket belongs to the authenticated user before returning or modifying it. Authentication alone is not sufficient; authorization must be evaluated for the specific object on every request.</w:t>
      </w:r>
    </w:p>
    <w:tbl>
      <w:tblPr>
        <w:tblW w:w="0" w:type="auto"/>
        <w:jc w:val="center"/>
        <w:tblLook w:val="04A0" w:firstRow="1" w:lastRow="0" w:firstColumn="1" w:lastColumn="0" w:noHBand="0" w:noVBand="1"/>
      </w:tblPr>
      <w:tblGrid>
        <w:gridCol w:w="10080"/>
      </w:tblGrid>
      <w:tr w:rsidR="002B0063" w14:paraId="5D6133AA" w14:textId="77777777">
        <w:trPr>
          <w:jc w:val="center"/>
        </w:trPr>
        <w:tc>
          <w:tcPr>
            <w:tcW w:w="10080" w:type="dxa"/>
            <w:tcBorders>
              <w:top w:val="single" w:sz="4" w:space="0" w:color="C8CDD3"/>
              <w:left w:val="single" w:sz="4" w:space="0" w:color="C8CDD3"/>
              <w:bottom w:val="single" w:sz="4" w:space="0" w:color="C8CDD3"/>
              <w:right w:val="single" w:sz="4" w:space="0" w:color="C8CDD3"/>
            </w:tcBorders>
            <w:shd w:val="clear" w:color="auto" w:fill="F7F7F7"/>
            <w:tcMar>
              <w:top w:w="70" w:type="dxa"/>
              <w:left w:w="100" w:type="dxa"/>
              <w:bottom w:w="70" w:type="dxa"/>
              <w:right w:w="100" w:type="dxa"/>
            </w:tcMar>
          </w:tcPr>
          <w:p w14:paraId="5FDA865B" w14:textId="77777777" w:rsidR="002B0063" w:rsidRDefault="00000000">
            <w:pPr>
              <w:spacing w:after="0"/>
            </w:pPr>
            <w:r>
              <w:rPr>
                <w:rFonts w:ascii="DejaVu Sans Mono" w:eastAsia="DejaVu Sans Mono" w:hAnsi="DejaVu Sans Mono"/>
                <w:sz w:val="15"/>
              </w:rPr>
              <w:t>Conceptual secure lookup</w:t>
            </w:r>
            <w:r>
              <w:rPr>
                <w:rFonts w:ascii="DejaVu Sans Mono" w:eastAsia="DejaVu Sans Mono" w:hAnsi="DejaVu Sans Mono"/>
                <w:sz w:val="15"/>
              </w:rPr>
              <w:br/>
            </w:r>
            <w:r>
              <w:rPr>
                <w:rFonts w:ascii="DejaVu Sans Mono" w:eastAsia="DejaVu Sans Mono" w:hAnsi="DejaVu Sans Mono"/>
                <w:sz w:val="15"/>
              </w:rPr>
              <w:br/>
              <w:t>requested_basket = find basket where:</w:t>
            </w:r>
            <w:r>
              <w:rPr>
                <w:rFonts w:ascii="DejaVu Sans Mono" w:eastAsia="DejaVu Sans Mono" w:hAnsi="DejaVu Sans Mono"/>
                <w:sz w:val="15"/>
              </w:rPr>
              <w:br/>
              <w:t xml:space="preserve">    basket.id == supplied_basket_id</w:t>
            </w:r>
            <w:r>
              <w:rPr>
                <w:rFonts w:ascii="DejaVu Sans Mono" w:eastAsia="DejaVu Sans Mono" w:hAnsi="DejaVu Sans Mono"/>
                <w:sz w:val="15"/>
              </w:rPr>
              <w:br/>
              <w:t xml:space="preserve">    AND basket.UserId == authenticated_user.id</w:t>
            </w:r>
            <w:r>
              <w:rPr>
                <w:rFonts w:ascii="DejaVu Sans Mono" w:eastAsia="DejaVu Sans Mono" w:hAnsi="DejaVu Sans Mono"/>
                <w:sz w:val="15"/>
              </w:rPr>
              <w:br/>
            </w:r>
            <w:r>
              <w:rPr>
                <w:rFonts w:ascii="DejaVu Sans Mono" w:eastAsia="DejaVu Sans Mono" w:hAnsi="DejaVu Sans Mono"/>
                <w:sz w:val="15"/>
              </w:rPr>
              <w:br/>
              <w:t>if no matching basket exists:</w:t>
            </w:r>
            <w:r>
              <w:rPr>
                <w:rFonts w:ascii="DejaVu Sans Mono" w:eastAsia="DejaVu Sans Mono" w:hAnsi="DejaVu Sans Mono"/>
                <w:sz w:val="15"/>
              </w:rPr>
              <w:br/>
              <w:t xml:space="preserve">    return 404 Not Found   # or 403 Forbidden according to application policy</w:t>
            </w:r>
            <w:r>
              <w:rPr>
                <w:rFonts w:ascii="DejaVu Sans Mono" w:eastAsia="DejaVu Sans Mono" w:hAnsi="DejaVu Sans Mono"/>
                <w:sz w:val="15"/>
              </w:rPr>
              <w:br/>
            </w:r>
            <w:r>
              <w:rPr>
                <w:rFonts w:ascii="DejaVu Sans Mono" w:eastAsia="DejaVu Sans Mono" w:hAnsi="DejaVu Sans Mono"/>
                <w:sz w:val="15"/>
              </w:rPr>
              <w:br/>
              <w:t>return requested_basket</w:t>
            </w:r>
          </w:p>
        </w:tc>
      </w:tr>
    </w:tbl>
    <w:p w14:paraId="7507DC18" w14:textId="67D63396" w:rsidR="002B0063" w:rsidRDefault="00000000">
      <w:pPr>
        <w:pStyle w:val="Heading2"/>
      </w:pPr>
      <w:r>
        <w:t xml:space="preserve">8.2 Prefer </w:t>
      </w:r>
      <w:r w:rsidR="00B168B5">
        <w:t>Server-Derived Basket Selection</w:t>
      </w:r>
    </w:p>
    <w:p w14:paraId="49936EAB" w14:textId="77777777" w:rsidR="002B0063" w:rsidRDefault="00000000">
      <w:pPr>
        <w:pStyle w:val="BodyText"/>
      </w:pPr>
      <w:r>
        <w:t>Where the business workflow allows it, avoid accepting an arbitrary basket identifier from the client. Derive the current basket from the authenticated account or session so that the client cannot select another user's basket.</w:t>
      </w:r>
    </w:p>
    <w:p w14:paraId="380969F7" w14:textId="5B267C98" w:rsidR="002B0063" w:rsidRDefault="00000000">
      <w:pPr>
        <w:pStyle w:val="Heading2"/>
      </w:pPr>
      <w:r>
        <w:t xml:space="preserve">8.3 Apply </w:t>
      </w:r>
      <w:r w:rsidR="00B168B5">
        <w:t>Authorization Consistently</w:t>
      </w:r>
    </w:p>
    <w:p w14:paraId="5C330C62" w14:textId="77777777" w:rsidR="002B0063" w:rsidRDefault="00000000">
      <w:pPr>
        <w:pStyle w:val="ListBullet"/>
      </w:pPr>
      <w:r>
        <w:t>Use a centralized authorization service, middleware, or policy layer rather than duplicating ownership checks inconsistently across controllers.</w:t>
      </w:r>
    </w:p>
    <w:p w14:paraId="2D6EFBC5" w14:textId="77777777" w:rsidR="002B0063" w:rsidRDefault="00000000">
      <w:pPr>
        <w:pStyle w:val="ListBullet"/>
      </w:pPr>
      <w:r>
        <w:t>Apply the same ownership validation to read and write operations, including GET, POST, PUT, PATCH, and DELETE requests.</w:t>
      </w:r>
    </w:p>
    <w:p w14:paraId="15BD8B30" w14:textId="77777777" w:rsidR="002B0063" w:rsidRDefault="00000000">
      <w:pPr>
        <w:pStyle w:val="ListBullet"/>
      </w:pPr>
      <w:r>
        <w:t>Adopt deny-by-default behavior when the ownership relationship cannot be established.</w:t>
      </w:r>
    </w:p>
    <w:p w14:paraId="23916304" w14:textId="3AD50EAF" w:rsidR="002B0063" w:rsidRDefault="00000000">
      <w:pPr>
        <w:pStyle w:val="Heading2"/>
      </w:pPr>
      <w:r>
        <w:t xml:space="preserve">8.4 Add </w:t>
      </w:r>
      <w:r w:rsidR="00B168B5">
        <w:t>Automated Authorization Tests</w:t>
      </w:r>
    </w:p>
    <w:p w14:paraId="1B905B3C" w14:textId="77777777" w:rsidR="002B0063" w:rsidRDefault="00000000">
      <w:pPr>
        <w:pStyle w:val="ListBullet"/>
      </w:pPr>
      <w:r>
        <w:t>Create integration tests with at least two users and verify that User A cannot retrieve or modify User B's basket, and vice versa.</w:t>
      </w:r>
    </w:p>
    <w:p w14:paraId="0C08CAEA" w14:textId="77777777" w:rsidR="002B0063" w:rsidRDefault="00000000">
      <w:pPr>
        <w:pStyle w:val="ListBullet"/>
      </w:pPr>
      <w:r>
        <w:t>Test valid IDs, invalid IDs, sequential IDs, stale IDs, and IDs belonging to deleted or inactive accounts.</w:t>
      </w:r>
    </w:p>
    <w:p w14:paraId="485D3CBD" w14:textId="77777777" w:rsidR="002B0063" w:rsidRDefault="00000000">
      <w:pPr>
        <w:pStyle w:val="ListBullet"/>
      </w:pPr>
      <w:r>
        <w:t>Include negative authorization tests in continuous integration so future code changes cannot reintroduce the flaw.</w:t>
      </w:r>
    </w:p>
    <w:p w14:paraId="3BEFEE4F" w14:textId="651165D5" w:rsidR="002B0063" w:rsidRDefault="00000000">
      <w:pPr>
        <w:pStyle w:val="Heading2"/>
      </w:pPr>
      <w:r>
        <w:t xml:space="preserve">8.5 Use </w:t>
      </w:r>
      <w:r w:rsidR="00B168B5">
        <w:t xml:space="preserve">Opaque Identifiers Only </w:t>
      </w:r>
      <w:proofErr w:type="gramStart"/>
      <w:r w:rsidR="00B168B5">
        <w:t>As</w:t>
      </w:r>
      <w:proofErr w:type="gramEnd"/>
      <w:r w:rsidR="00B168B5">
        <w:t xml:space="preserve"> Defense </w:t>
      </w:r>
      <w:proofErr w:type="gramStart"/>
      <w:r w:rsidR="00B168B5">
        <w:t>In</w:t>
      </w:r>
      <w:proofErr w:type="gramEnd"/>
      <w:r w:rsidR="00B168B5">
        <w:t xml:space="preserve"> Depth</w:t>
      </w:r>
    </w:p>
    <w:p w14:paraId="7E9629C2" w14:textId="77777777" w:rsidR="002B0063" w:rsidRDefault="00000000">
      <w:pPr>
        <w:pStyle w:val="BodyText"/>
      </w:pPr>
      <w:r>
        <w:t>Replacing sequential IDs with random or opaque identifiers can make enumeration more difficult, but it does not correct the authorization failure. Ownership checks remain mandatory even when UUIDs or other non-sequential values are used.</w:t>
      </w:r>
    </w:p>
    <w:p w14:paraId="61CCE83E" w14:textId="78873F5F" w:rsidR="002B0063" w:rsidRDefault="00000000">
      <w:pPr>
        <w:pStyle w:val="Heading2"/>
      </w:pPr>
      <w:r>
        <w:t xml:space="preserve">8.6 Monitoring </w:t>
      </w:r>
      <w:proofErr w:type="gramStart"/>
      <w:r w:rsidR="00B168B5">
        <w:t>And</w:t>
      </w:r>
      <w:proofErr w:type="gramEnd"/>
      <w:r w:rsidR="00B168B5">
        <w:t xml:space="preserve"> Detection</w:t>
      </w:r>
    </w:p>
    <w:p w14:paraId="0CF67A9A" w14:textId="77777777" w:rsidR="002B0063" w:rsidRDefault="00000000">
      <w:pPr>
        <w:pStyle w:val="ListBullet"/>
      </w:pPr>
      <w:r>
        <w:t>Log authorization failures and repeated attempts to request multiple basket IDs from the same account or session.</w:t>
      </w:r>
    </w:p>
    <w:p w14:paraId="66CA24E2" w14:textId="77777777" w:rsidR="002B0063" w:rsidRDefault="00000000">
      <w:pPr>
        <w:pStyle w:val="ListBullet"/>
      </w:pPr>
      <w:r>
        <w:t>Alert on abnormal sequential object access patterns where appropriate.</w:t>
      </w:r>
    </w:p>
    <w:p w14:paraId="73F5E21E" w14:textId="77777777" w:rsidR="002B0063" w:rsidRDefault="00000000">
      <w:pPr>
        <w:pStyle w:val="ListBullet"/>
      </w:pPr>
      <w:r>
        <w:t>Do not log raw authentication tokens or sensitive session values.</w:t>
      </w:r>
    </w:p>
    <w:p w14:paraId="3AF087F1" w14:textId="7D352F60" w:rsidR="002B0063" w:rsidRDefault="00000000">
      <w:pPr>
        <w:pStyle w:val="Heading2"/>
      </w:pPr>
      <w:r>
        <w:lastRenderedPageBreak/>
        <w:t xml:space="preserve">8.7 Retest </w:t>
      </w:r>
      <w:r w:rsidR="00B168B5">
        <w:t>Criteria</w:t>
      </w:r>
    </w:p>
    <w:p w14:paraId="389C09E2" w14:textId="3F07D7B1" w:rsidR="002B0063" w:rsidRDefault="00000000">
      <w:pPr>
        <w:pStyle w:val="BodyText"/>
      </w:pPr>
      <w:r>
        <w:t xml:space="preserve">The finding can be considered remediated </w:t>
      </w:r>
      <w:r w:rsidR="00A61E33" w:rsidRPr="00A61E33">
        <w:t>when an authenticated user is only able to access their own basket, even if they change the basket ID in the request. Retesting should also confirm that actions such as adding, updating, or removing basket items apply the same ownership checks and that normal basket functions continue to work correctly.</w:t>
      </w:r>
    </w:p>
    <w:p w14:paraId="5533FB11" w14:textId="77777777" w:rsidR="002B0063" w:rsidRDefault="00000000">
      <w:pPr>
        <w:pStyle w:val="Heading1"/>
      </w:pPr>
      <w:r>
        <w:t>9. Conclusion</w:t>
      </w:r>
    </w:p>
    <w:p w14:paraId="46339E75" w14:textId="77777777" w:rsidR="002B0063" w:rsidRDefault="00000000">
      <w:pPr>
        <w:pStyle w:val="BodyText"/>
      </w:pPr>
      <w:r>
        <w:t>The assessment confirmed a horizontal access-control vulnerability in the Juice Shop basket retrieval endpoint. By changing a user-controlled basket identifier while preserving the authentication context of another account, the application returned data belonging to a different user. The result demonstrates that the server authenticated the requester but failed to authorize access to the requested basket object.</w:t>
      </w:r>
    </w:p>
    <w:p w14:paraId="4552BBD4" w14:textId="77777777" w:rsidR="002B0063" w:rsidRDefault="00000000">
      <w:pPr>
        <w:pStyle w:val="BodyText"/>
      </w:pPr>
      <w:r>
        <w:t>The primary corrective action is to enforce server-side ownership checks on every basket operation and, where possible, derive the active basket from the authenticated user rather than from an arbitrary client-supplied identifier. Implementing negative authorization tests will help prevent recurrence.</w:t>
      </w:r>
    </w:p>
    <w:p w14:paraId="11FC9F3E" w14:textId="77777777" w:rsidR="002B0063" w:rsidRDefault="00000000">
      <w:pPr>
        <w:pStyle w:val="Heading1"/>
      </w:pPr>
      <w:r>
        <w:t>10. References</w:t>
      </w:r>
    </w:p>
    <w:p w14:paraId="2375BE3B" w14:textId="77777777" w:rsidR="002B0063" w:rsidRDefault="00000000">
      <w:pPr>
        <w:pStyle w:val="BodyText"/>
        <w:ind w:left="288" w:hanging="288"/>
      </w:pPr>
      <w:r>
        <w:rPr>
          <w:b/>
        </w:rPr>
        <w:t xml:space="preserve">1. </w:t>
      </w:r>
      <w:r>
        <w:t>OWASP. “Insecure Direct Object Reference Prevention Cheat Sheet.” https://cheatsheetseries.owasp.org/cheatsheets/Insecure_Direct_Object_Reference_Prevention_Cheat_Sheet.html</w:t>
      </w:r>
    </w:p>
    <w:p w14:paraId="770F9374" w14:textId="77777777" w:rsidR="002B0063" w:rsidRDefault="00000000">
      <w:pPr>
        <w:pStyle w:val="BodyText"/>
        <w:ind w:left="288" w:hanging="288"/>
      </w:pPr>
      <w:r>
        <w:rPr>
          <w:b/>
        </w:rPr>
        <w:t xml:space="preserve">2. </w:t>
      </w:r>
      <w:r>
        <w:t>OWASP. “A01:2025 - Broken Access Control.” https://owasp.org/Top10/2025/A01_2025-Broken_Access_Control/</w:t>
      </w:r>
    </w:p>
    <w:p w14:paraId="2B98C7EC" w14:textId="77777777" w:rsidR="002B0063" w:rsidRDefault="00000000">
      <w:pPr>
        <w:pStyle w:val="BodyText"/>
        <w:ind w:left="288" w:hanging="288"/>
      </w:pPr>
      <w:r>
        <w:rPr>
          <w:b/>
        </w:rPr>
        <w:t xml:space="preserve">3. </w:t>
      </w:r>
      <w:r>
        <w:t>OWASP API Security Project. “API1:2023 - Broken Object Level Authorization.” https://owasp.org/API-Security/editions/2023/en/0xa1-broken-object-level-authorization/</w:t>
      </w:r>
    </w:p>
    <w:p w14:paraId="1F3A691A" w14:textId="77777777" w:rsidR="002B0063" w:rsidRDefault="00000000">
      <w:pPr>
        <w:pStyle w:val="BodyText"/>
        <w:ind w:left="288" w:hanging="288"/>
      </w:pPr>
      <w:r>
        <w:rPr>
          <w:b/>
        </w:rPr>
        <w:t xml:space="preserve">4. </w:t>
      </w:r>
      <w:r>
        <w:t>MITRE. “CWE-639: Authorization Bypass Through User-Controlled Key.” https://cwe.mitre.org/data/definitions/639.html</w:t>
      </w:r>
    </w:p>
    <w:sectPr w:rsidR="002B0063" w:rsidSect="00034616">
      <w:headerReference w:type="default" r:id="rId13"/>
      <w:footerReference w:type="default" r:id="rId14"/>
      <w:footerReference w:type="first" r:id="rId15"/>
      <w:pgSz w:w="12240" w:h="15840"/>
      <w:pgMar w:top="936" w:right="1080" w:bottom="93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03CF9" w14:textId="77777777" w:rsidR="00041B0C" w:rsidRDefault="00041B0C">
      <w:pPr>
        <w:spacing w:after="0" w:line="240" w:lineRule="auto"/>
      </w:pPr>
      <w:r>
        <w:separator/>
      </w:r>
    </w:p>
  </w:endnote>
  <w:endnote w:type="continuationSeparator" w:id="0">
    <w:p w14:paraId="7483F7CE" w14:textId="77777777" w:rsidR="00041B0C" w:rsidRDefault="00041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F257E" w14:textId="502D1045" w:rsidR="002B0063" w:rsidRDefault="00394013" w:rsidP="00394013">
    <w:pPr>
      <w:pStyle w:val="Footer"/>
    </w:pPr>
    <w:r>
      <w:rPr>
        <w:color w:val="646464"/>
        <w:sz w:val="16"/>
      </w:rPr>
      <w:t>CA-WEB-03</w:t>
    </w:r>
    <w:r w:rsidR="00000000">
      <w:tab/>
    </w:r>
    <w:r>
      <w:t xml:space="preserve">                                                                                                                                                                                                 </w:t>
    </w:r>
    <w:r w:rsidR="00000000">
      <w:rPr>
        <w:sz w:val="18"/>
      </w:rPr>
      <w:t xml:space="preserve">Page </w:t>
    </w:r>
    <w:r w:rsidR="00000000">
      <w:rPr>
        <w:sz w:val="18"/>
      </w:rPr>
      <w:fldChar w:fldCharType="begin"/>
    </w:r>
    <w:r w:rsidR="00000000">
      <w:rPr>
        <w:sz w:val="18"/>
      </w:rPr>
      <w:instrText>PAGE</w:instrText>
    </w:r>
    <w:r>
      <w:rPr>
        <w:sz w:val="18"/>
      </w:rPr>
      <w:fldChar w:fldCharType="separate"/>
    </w:r>
    <w:r>
      <w:rPr>
        <w:noProof/>
        <w:sz w:val="18"/>
      </w:rPr>
      <w:t>2</w:t>
    </w:r>
    <w:r w:rsidR="00000000">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F3038" w14:textId="77777777" w:rsidR="002B0063" w:rsidRDefault="00000000">
    <w:pPr>
      <w:pStyle w:val="Footer"/>
      <w:jc w:val="center"/>
    </w:pPr>
    <w:r>
      <w:rPr>
        <w:color w:val="7D7D7D"/>
        <w:sz w:val="16"/>
      </w:rPr>
      <w:t>Educational use only | Sensitive authentication material redacted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ABA2F" w14:textId="77777777" w:rsidR="00041B0C" w:rsidRDefault="00041B0C">
      <w:pPr>
        <w:spacing w:after="0" w:line="240" w:lineRule="auto"/>
      </w:pPr>
      <w:r>
        <w:separator/>
      </w:r>
    </w:p>
  </w:footnote>
  <w:footnote w:type="continuationSeparator" w:id="0">
    <w:p w14:paraId="0511973E" w14:textId="77777777" w:rsidR="00041B0C" w:rsidRDefault="00041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9913E" w14:textId="77777777" w:rsidR="002B0063" w:rsidRDefault="00000000">
    <w:pPr>
      <w:pStyle w:val="Header"/>
      <w:pBdr>
        <w:bottom w:val="single" w:sz="8" w:space="3" w:color="087E8B"/>
      </w:pBdr>
    </w:pPr>
    <w:r>
      <w:rPr>
        <w:color w:val="183B56"/>
        <w:sz w:val="17"/>
      </w:rPr>
      <w:t>OWASP Juice Shop Vulnerability Assessment | IDOR in Basket Retrieval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8479950">
    <w:abstractNumId w:val="8"/>
  </w:num>
  <w:num w:numId="2" w16cid:durableId="1639072800">
    <w:abstractNumId w:val="6"/>
  </w:num>
  <w:num w:numId="3" w16cid:durableId="1711563663">
    <w:abstractNumId w:val="5"/>
  </w:num>
  <w:num w:numId="4" w16cid:durableId="1899432743">
    <w:abstractNumId w:val="4"/>
  </w:num>
  <w:num w:numId="5" w16cid:durableId="1261179877">
    <w:abstractNumId w:val="7"/>
  </w:num>
  <w:num w:numId="6" w16cid:durableId="1845630989">
    <w:abstractNumId w:val="3"/>
  </w:num>
  <w:num w:numId="7" w16cid:durableId="643896722">
    <w:abstractNumId w:val="2"/>
  </w:num>
  <w:num w:numId="8" w16cid:durableId="751973697">
    <w:abstractNumId w:val="1"/>
  </w:num>
  <w:num w:numId="9" w16cid:durableId="1625849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249"/>
    <w:rsid w:val="00041B0C"/>
    <w:rsid w:val="0006063C"/>
    <w:rsid w:val="0015074B"/>
    <w:rsid w:val="0020432D"/>
    <w:rsid w:val="0029639D"/>
    <w:rsid w:val="002B0063"/>
    <w:rsid w:val="00326F90"/>
    <w:rsid w:val="00394013"/>
    <w:rsid w:val="004565E5"/>
    <w:rsid w:val="008C63E6"/>
    <w:rsid w:val="00A61E33"/>
    <w:rsid w:val="00AA1D8D"/>
    <w:rsid w:val="00B168B5"/>
    <w:rsid w:val="00B47730"/>
    <w:rsid w:val="00BE22E2"/>
    <w:rsid w:val="00CB0664"/>
    <w:rsid w:val="00DD08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50F557"/>
  <w14:defaultImageDpi w14:val="300"/>
  <w15:docId w15:val="{B0BA93A2-01FB-4179-8BC5-72F378901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eastAsia="Aptos" w:hAnsi="Aptos"/>
      <w:color w:val="24313A"/>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183B56"/>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A6F97"/>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87E8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Pages>
  <Words>2008</Words>
  <Characters>11447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Vulnerability Assessment Report - IDOR in Basket Retrieval</vt:lpstr>
    </vt:vector>
  </TitlesOfParts>
  <Manager/>
  <Company/>
  <LinksUpToDate>false</LinksUpToDate>
  <CharactersWithSpaces>13429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Vulnerability Assessment Report - IDOR in Basket Retrieval</dc:title>
  <dc:subject>OWASP Juice Shop authorized educational assessment</dc:subject>
  <dc:creator>Nataliah Alcala-Maharaj</dc:creator>
  <cp:keywords>IDOR, Broken Access Control, OWASP Juice Shop, Burp Suite, BOLA</cp:keywords>
  <dc:description>generated by python-docx</dc:description>
  <cp:lastModifiedBy>Nataliah Alcala-Maharaj</cp:lastModifiedBy>
  <cp:revision>2</cp:revision>
  <cp:lastPrinted>2026-08-02T01:12:00Z</cp:lastPrinted>
  <dcterms:created xsi:type="dcterms:W3CDTF">2026-08-02T01:23:00Z</dcterms:created>
  <dcterms:modified xsi:type="dcterms:W3CDTF">2026-08-02T01:23:00Z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6532e475-ecb7-4d86-88a3-595ec7e52840</vt:lpwstr>
  </property>
</Properties>
</file>