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Ryan K. McDonald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Senior PM who restores delivery on stalled enterprise platform programs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Denver, CO | ryan.mcdonald.us@gmail.com | </w:t>
      </w:r>
      <w:hyperlink w:history="1" r:id="rId14">
        <w:r>
          <w:rPr>
            <w:rFonts w:ascii="Calibri" w:cs="Calibri" w:eastAsia="Calibri" w:hAnsi="Calibri"/>
            <w:color w:val="0000EE"/>
            <w:sz w:val="20"/>
            <w:szCs w:val="20"/>
            <w:u w:val="single"/>
          </w:rPr>
          <w:t xml:space="preserve">LinkedIn</w:t>
        </w:r>
      </w:hyperlink>
      <w:r>
        <w:rPr>
          <w:rFonts w:ascii="Calibri" w:cs="Calibri" w:eastAsia="Calibri" w:hAnsi="Calibri"/>
          <w:sz w:val="20"/>
          <w:szCs w:val="20"/>
        </w:rPr>
        <w:t xml:space="preserve"> | </w:t>
      </w:r>
      <w:hyperlink w:history="1" r:id="rId15">
        <w:r>
          <w:rPr>
            <w:rFonts w:ascii="Calibri" w:cs="Calibri" w:eastAsia="Calibri" w:hAnsi="Calibri"/>
            <w:color w:val="0000EE"/>
            <w:sz w:val="20"/>
            <w:szCs w:val="20"/>
            <w:u w:val="single"/>
          </w:rPr>
          <w:t xml:space="preserve">GitHub</w:t>
        </w:r>
      </w:hyperlink>
      <w:r>
        <w:rPr>
          <w:rFonts w:ascii="Calibri" w:cs="Calibri" w:eastAsia="Calibri" w:hAnsi="Calibri"/>
          <w:sz w:val="20"/>
          <w:szCs w:val="20"/>
        </w:rPr>
        <w:t xml:space="preserve"> | </w:t>
      </w:r>
      <w:hyperlink w:history="1" r:id="rId16">
        <w:r>
          <w:rPr>
            <w:rFonts w:ascii="Calibri" w:cs="Calibri" w:eastAsia="Calibri" w:hAnsi="Calibri"/>
            <w:color w:val="0000EE"/>
            <w:sz w:val="19"/>
            <w:szCs w:val="19"/>
            <w:u w:val="single"/>
          </w:rPr>
          <w:t xml:space="preserve">Signal HoriZon</w:t>
        </w:r>
      </w:hyperlink>
      <w:r>
        <w:rPr>
          <w:rFonts w:ascii="Calibri" w:cs="Calibri" w:eastAsia="Calibri" w:hAnsi="Calibri"/>
          <w:sz w:val="19"/>
          <w:szCs w:val="19"/>
        </w:rPr>
        <w:t xml:space="preserve"> | </w:t>
      </w:r>
      <w:hyperlink w:history="1" r:id="rId17">
        <w:r>
          <w:rPr>
            <w:rFonts w:ascii="Calibri" w:cs="Calibri" w:eastAsia="Calibri" w:hAnsi="Calibri"/>
            <w:color w:val="0000EE"/>
            <w:sz w:val="20"/>
            <w:szCs w:val="20"/>
            <w:u w:val="single"/>
          </w:rPr>
          <w:t xml:space="preserve">Portfolio</w:t>
        </w:r>
      </w:hyperlink>
    </w:p>
    <w:p>
      <w:pPr>
        <w:spacing w:after="100" w:before="100" w:line="276"/>
      </w:pPr>
      <w:r>
        <w:rPr>
          <w:rFonts w:ascii="Calibri" w:cs="Calibri" w:eastAsia="Calibri" w:hAnsi="Calibri"/>
          <w:sz w:val="22"/>
          <w:szCs w:val="22"/>
        </w:rPr>
        <w:t xml:space="preserve">I come in when ownership is unclear. Architecture and roadmap have drifted apart. Teams are busy but not shipping. I identify where the system broke and fix that before touching the roadmap. 10+ years across Bank of America, Splunk, Yahoo and Disney. Engineering-rooted. Patent for Fast Channels delivery architecture. I read code and work inside the technical system, not above it.</w:t>
      </w:r>
    </w:p>
    <w:p>
      <w:pPr>
        <w:pBdr>
          <w:bottom w:val="single" w:color="000000" w:sz="6" w:space="1"/>
        </w:pBd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SELECTED IMPACT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$60K per month in coordination overhead removed at Bank of America</w:t>
      </w:r>
      <w:r>
        <w:rPr>
          <w:rFonts w:ascii="Calibri" w:cs="Calibri" w:eastAsia="Calibri" w:hAnsi="Calibri"/>
          <w:sz w:val="22"/>
          <w:szCs w:val="22"/>
        </w:rPr>
        <w:t xml:space="preserve"> by restructuring decision rights across security operations, engineering and compliance on a stalled SIEM modernization across 3 organizations.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$500K in incremental platform funding secured at Splunk</w:t>
      </w:r>
      <w:r>
        <w:rPr>
          <w:rFonts w:ascii="Calibri" w:cs="Calibri" w:eastAsia="Calibri" w:hAnsi="Calibri"/>
          <w:sz w:val="22"/>
          <w:szCs w:val="22"/>
        </w:rPr>
        <w:t xml:space="preserve"> by making the business case directly to leadership. Used to consolidate a fragmented detection lifecycle into a single shippable surface for engineering.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$5M in enterprise renewals retained at Yahoo Edgecast</w:t>
      </w:r>
      <w:r>
        <w:rPr>
          <w:rFonts w:ascii="Calibri" w:cs="Calibri" w:eastAsia="Calibri" w:hAnsi="Calibri"/>
          <w:sz w:val="22"/>
          <w:szCs w:val="22"/>
        </w:rPr>
        <w:t xml:space="preserve"> through 2 back-to-back acquisitions. Disney and Discovery on the line. Roadmap re-sequenced around what kept customers from leaving.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 weeks to 3 weeks time-to-value at Splunk</w:t>
      </w:r>
      <w:r>
        <w:rPr>
          <w:rFonts w:ascii="Calibri" w:cs="Calibri" w:eastAsia="Calibri" w:hAnsi="Calibri"/>
          <w:sz w:val="22"/>
          <w:szCs w:val="22"/>
        </w:rPr>
        <w:t xml:space="preserve"> by rebuilding onboarding as a product surface instead of a services handoff. Same CS team. No new headcount.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Patent for Fast Channels delivery architecture</w:t>
      </w:r>
      <w:r>
        <w:rPr>
          <w:rFonts w:ascii="Calibri" w:cs="Calibri" w:eastAsia="Calibri" w:hAnsi="Calibri"/>
          <w:sz w:val="22"/>
          <w:szCs w:val="22"/>
        </w:rPr>
        <w:t xml:space="preserve"> covering core channel delivery and ad insertion. Solution directly competed with Yahoo Edgecast's platform and later became the basis for recruitment there.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Designed and trademarked AOSI (Agent Orchestrated Self Improvement™)</w:t>
      </w:r>
      <w:r>
        <w:rPr>
          <w:rFonts w:ascii="Calibri" w:cs="Calibri" w:eastAsia="Calibri" w:hAnsi="Calibri"/>
          <w:sz w:val="22"/>
          <w:szCs w:val="22"/>
        </w:rPr>
        <w:t xml:space="preserve"> including MCP servers and AutoResearch, a generalized agent system with Karpathy loops extracted from proprietary Ascendvent work. Public thesis: agent systems are workflow infrastructure. Context changes, flow does not.</w:t>
      </w:r>
    </w:p>
    <w:p>
      <w:pPr>
        <w:pBdr>
          <w:bottom w:val="single" w:color="000000" w:sz="6" w:space="1"/>
        </w:pBd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PROFESSIONAL EXPERIENCE</w:t>
      </w:r>
    </w:p>
    <w:p>
      <w:pPr>
        <w:tabs>
          <w:tab w:val="right" w:pos="9026"/>
        </w:tabs>
        <w:spacing w:after="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Product Manager (Contract)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Bank of America via Apex Systems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Oct 2025 – Mar 2026</w:t>
      </w:r>
    </w:p>
    <w:p>
      <w:pPr>
        <w:spacing w:after="60" w:before="0" w:line="2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Brought in to restore delivery on a stalled SIEM modernization spanning security operations, engineering and compliance. Mandate: establish program governance and operating model before touching the roadmap.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Restructured decision rights and operating model across 3 organizations. Removed ~$60K per month in coordination overhead measured against PI planning cycle waste. Unblocked reliable delivery commitments.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Flipped the program from 6 months of zero delivery to active detection migration and platform enablement. Team had been stuck in documentation cycles before I joined. Restored focus on shipping work items.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Separated detection research from production commitments. The architectural change that restored forecasting reliability across all 3 organizations.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Defined and aligned the full Splunk and Anvilogic migration sequence with all stakeholders, taking the program from no shared plan to a milestoned roadmap everyone could commit to.</w:t>
      </w:r>
    </w:p>
    <w:p>
      <w:pPr>
        <w:tabs>
          <w:tab w:val="right" w:pos="9026"/>
        </w:tabs>
        <w:spacing w:after="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Founder &amp; Product Lead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Ascendvent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2024 – Present</w:t>
      </w:r>
    </w:p>
    <w:p>
      <w:pPr>
        <w:spacing w:after="60" w:before="0" w:line="2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Developed AOSI (Agent Orchestrated Self Improvement™), a trademarked AI-native product development methodology. Built the tooling, shipped the first product, and open-sourced the architecture.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Built the Founder OS, an 11-stage AI-gated product development pipeline running on a custom MCP server. Preflight validation gates each stage. PRD generation uses a Karpathy-style generate-score-improve loop with Sonnet writing and Haiku scoring.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Shipped Check-In by Ascendvent to production at checkin.ascendvent.life. Full-stack SaaS built with Claude Code: Next.js, Supabase, Stripe, Claude Sonnet 4.6 for AI drafts and pre-session briefs, Playwright end-to-end test suite. Priced at $15/month against $29/month competitors.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Built and open-sourced 3 MCP servers including a Product Operating Model server and ShaleYeah for oil and gas analysis. Public proof of agentic architecture judgment.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Ran 50+ VoC interviews. Killed the original hypothesis when unit economics could not support the model. Pivoted to B2B practitioners after discovery identified operational overhead as the real constraint.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Publishing systems thinking on Signal HoriZon. 62 posts on operating models, product organizations and agent infrastructure.</w:t>
      </w:r>
    </w:p>
    <w:p>
      <w:pPr>
        <w:tabs>
          <w:tab w:val="right" w:pos="9026"/>
        </w:tabs>
        <w:spacing w:after="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Product Manager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Splunk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2022 – 2024</w:t>
      </w:r>
    </w:p>
    <w:p>
      <w:pPr>
        <w:spacing w:after="60" w:before="0" w:line="2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Recruited to own the security content platform within Splunk Enterprise Security. Inherited a roadmap adding complexity to an already fragmented surface and a services-led onboarding model that was not scaling.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Redirected the roadmap from rule expansion to centralized content governance. The break was sprawl. Adding more detections to a fragmented surface was making adoption worse, not better. Governance fix drove a 12% adoption lift across 2,000+ enterprise customers.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Secured $500K in incremental platform funding by making the business case directly to leadership. Consolidated a fragmented detection lifecycle into a single shippable surface for engineering.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Rebuilt onboarding as a product surface instead of a services handoff. Cut time to value from 10 weeks to 3 with the same CS team and no new headcount.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Replaced output-based reporting with OKR-aligned activation and retention dashboards, giving leadership an accurate view of actual product health.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Centralized detection content governance created the architectural prerequisite for AI-assisted detection workflows. Fragmented content surfaces cannot support ML-assisted triage or generative detection authoring at scale.</w:t>
      </w:r>
    </w:p>
    <w:p>
      <w:pPr>
        <w:tabs>
          <w:tab w:val="right" w:pos="9026"/>
        </w:tabs>
        <w:spacing w:after="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Technical Product Manager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Yahoo Edgecast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2021 – 2022</w:t>
      </w:r>
    </w:p>
    <w:p>
      <w:pPr>
        <w:spacing w:after="60" w:before="0" w:line="2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Owned core streaming product through 2 back-to-back acquisitions (Limelight to Verizon to Yahoo). Retention was the whole game. Customer commitments had to hold while the company changed hands twice.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Retained $5M in enterprise renewals including Disney and Discovery. The roadmap had to be re-sequenced under acquisition pressure around what kept customers from leaving, not around what engineering had already started building.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Delivered geo-blocking and live time-shift under hard customer deadlines during both ownership transitions. Contracts stayed intact when the company had every excuse they would have accepted.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Built session-based playback end-to-end, giving live-stream viewers pause, rewind and replay. 35% engagement lift within months. The foundation that retention commitments were built on.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Reduced cloud storage costs 18% through session caching. Same user experience at a fraction of the DVR infrastructure cost.</w:t>
      </w:r>
    </w:p>
    <w:p>
      <w:pPr>
        <w:tabs>
          <w:tab w:val="right" w:pos="9026"/>
        </w:tabs>
        <w:spacing w:after="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Associate Director, Product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2019 – 2021</w:t>
      </w:r>
    </w:p>
    <w:p>
      <w:pPr>
        <w:spacing w:after="60" w:before="0" w:line="2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Healthcare population management platforms during COVID across Kaiser Permanente and Abbott BinaxNOW rapid testing. Inherited BinaxNOW mid-pilot with scale pressure arriving faster than the platform was ready for.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Held verification fidelity as the priority over feature velocity on NAVICA. The call that made result records trusted enough for travel, employer return-to-work and school access programs. Drove Abbott to roughly 65% of the U.S. rapid test market at peak.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Scaled BinaxNOW from pilot to 50M tests per month in 6 weeks by coordinating across 4 functions: manufacturing, supply chain, regulatory compliance and the NAVICA digital health app.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Coached 2 project managers through a pivot to product management. Both took over PM roles and clients requested their work on follow-on contracts after they brought dev sprints, deeper user discovery and user story mapping into engagements that had not seen those practices before.</w:t>
      </w:r>
    </w:p>
    <w:p>
      <w:pPr>
        <w:tabs>
          <w:tab w:val="right" w:pos="9026"/>
        </w:tabs>
        <w:spacing w:after="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Business Strategy Manager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Accenture Strategy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2017 – 2019</w:t>
      </w:r>
    </w:p>
    <w:p>
      <w:pPr>
        <w:spacing w:after="60" w:before="0" w:line="2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Product and platform strategy for media and telecom clients. Built investment case and roadmap skills. Left when the distance from real ownership became the constraint.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Grew Spectrum AudienceTrak adoption from 100 to 5,000 users in 3 months through persona-based onboarding redesign grounded in customer interviews. The measurement layer leadership had been trying to drive into the field for a year.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Launched an AI-driven operational intelligence system enabling 72-hour advance broadcast outage detection, preventing customer-facing incidents before they happened.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Drove platform adoption by connecting portfolio prioritization to measurable ROI across client leadership teams without direct authority.</w:t>
      </w:r>
    </w:p>
    <w:p>
      <w:pPr>
        <w:tabs>
          <w:tab w:val="right" w:pos="9026"/>
        </w:tabs>
        <w:spacing w:after="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Product Manager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Disney ESPN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2015 – 2017</w:t>
      </w:r>
    </w:p>
    <w:p>
      <w:pPr>
        <w:spacing w:after="60" w:before="0" w:line="2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Started owning video player engineering and next-gen ad tech strategy. Moved into product as the platform decisions (transitions, vendor evaluation, monetization architecture) naturally became mine.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Owned video player frameworks across ESPN's web and mobile properties. Single point of accountability for player behavior, vendor selection and architecture decisions.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Led the Flash-to-HTML5 streaming migration. Owned vendor tradeoffs and platform architecture decisions that delivered a 25% engagement increase and 60% improvement in ad insertion success.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Built end-to-end delivery measurement across Conviva, Nielsen, Freewheel, GAM, New Relic and SignalFx. Gave leadership unified visibility into player performance, ad delivery and audience behavior across properties for the first time.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Led ad-tech proofs-of-concept that shaped ESPN's move to Google Ad Manager. Evaluated vendor tradeoffs, documented risks and gave leadership a clear basis for the decision.</w:t>
      </w:r>
    </w:p>
    <w:p>
      <w:pPr>
        <w:tabs>
          <w:tab w:val="right" w:pos="9026"/>
        </w:tabs>
        <w:spacing w:after="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Consultant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Accenture Technology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2011 – 2015</w:t>
      </w:r>
    </w:p>
    <w:p>
      <w:pPr>
        <w:spacing w:after="60" w:before="0" w:line="2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Led enterprise integration architecture and platform modernization programs for large-scale state government, telecom and media clients.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Designed and patented the Fast Channels delivery architecture</w:t>
      </w:r>
      <w:r>
        <w:rPr>
          <w:rFonts w:ascii="Calibri" w:cs="Calibri" w:eastAsia="Calibri" w:hAnsi="Calibri"/>
          <w:sz w:val="22"/>
          <w:szCs w:val="22"/>
        </w:rPr>
        <w:t xml:space="preserve"> covering core channel delivery and ad insertion. The solution directly competed with Yahoo Edgecast's platform and later became the basis for recruitment there.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Directed a 25-engineer delivery team across enterprise integration and platform modernization for large telecom and media clients. Defined system boundaries, API contracts and dependency sequencing across 4 platform domains: provisioning, search, monitoring and operations.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2"/>
          <w:szCs w:val="22"/>
        </w:rPr>
        <w:t xml:space="preserve">Established technical governance, reliability standards and release sequencing models that caught integration failures before they reached production.</w:t>
      </w:r>
    </w:p>
    <w:p>
      <w:pPr>
        <w:pBdr>
          <w:bottom w:val="single" w:color="000000" w:sz="6" w:space="1"/>
        </w:pBd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TECHNOLOGIES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Platforms: </w:t>
      </w:r>
      <w:r>
        <w:rPr>
          <w:rFonts w:ascii="Calibri" w:cs="Calibri" w:eastAsia="Calibri" w:hAnsi="Calibri"/>
          <w:sz w:val="22"/>
          <w:szCs w:val="22"/>
        </w:rPr>
        <w:t xml:space="preserve">Splunk Enterprise Security, Anvilogic, SIEM/SOAR, video streaming (HLS, DASH), ad tech (GAM, Freewheel, Conviva, Nielsen)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Engineering: </w:t>
      </w:r>
      <w:r>
        <w:rPr>
          <w:rFonts w:ascii="Calibri" w:cs="Calibri" w:eastAsia="Calibri" w:hAnsi="Calibri"/>
          <w:sz w:val="22"/>
          <w:szCs w:val="22"/>
        </w:rPr>
        <w:t xml:space="preserve">Python, SQL, TypeScript, JavaScript, REST API design, Git, AWS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Observability and Infrastructure: </w:t>
      </w:r>
      <w:r>
        <w:rPr>
          <w:rFonts w:ascii="Calibri" w:cs="Calibri" w:eastAsia="Calibri" w:hAnsi="Calibri"/>
          <w:sz w:val="22"/>
          <w:szCs w:val="22"/>
        </w:rPr>
        <w:t xml:space="preserve">Grafana, New Relic, SignalFx, CloudWatch, container orchestration concepts (Kubernetes, Docker)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 and Agents: </w:t>
      </w:r>
      <w:r>
        <w:rPr>
          <w:rFonts w:ascii="Calibri" w:cs="Calibri" w:eastAsia="Calibri" w:hAnsi="Calibri"/>
          <w:sz w:val="22"/>
          <w:szCs w:val="22"/>
        </w:rPr>
        <w:t xml:space="preserve">Claude Code, MCP server development (public on GitHub), AgentOS design, RAG orchestration, LLM API integration, agent workflows (n8n)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Frameworks: </w:t>
      </w:r>
      <w:r>
        <w:rPr>
          <w:rFonts w:ascii="Calibri" w:cs="Calibri" w:eastAsia="Calibri" w:hAnsi="Calibri"/>
          <w:sz w:val="22"/>
          <w:szCs w:val="22"/>
        </w:rPr>
        <w:t xml:space="preserve">OKR systems, SAFe/PI planning, Agile/Scrum, Jira, Confluence</w:t>
      </w:r>
    </w:p>
    <w:p>
      <w:pPr>
        <w:pBdr>
          <w:bottom w:val="single" w:color="000000" w:sz="6" w:space="1"/>
        </w:pBd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COMMUNITY AND WRITING</w:t>
      </w:r>
    </w:p>
    <w:p>
      <w:pPr>
        <w:spacing w:after="40" w:before="60" w:line="276"/>
      </w:pPr>
      <w:r>
        <w:rPr>
          <w:rFonts w:ascii="Calibri" w:cs="Calibri" w:eastAsia="Calibri" w:hAnsi="Calibri"/>
          <w:sz w:val="22"/>
          <w:szCs w:val="22"/>
        </w:rPr>
        <w:t xml:space="preserve">Author of </w:t>
      </w:r>
      <w:hyperlink w:history="1" r:id="rId18">
        <w:r>
          <w:rPr>
            <w:rFonts w:ascii="Calibri" w:cs="Calibri" w:eastAsia="Calibri" w:hAnsi="Calibri"/>
            <w:color w:val="0000EE"/>
            <w:sz w:val="22"/>
            <w:szCs w:val="22"/>
            <w:u w:val="single"/>
          </w:rPr>
          <w:t xml:space="preserve">Signal HoriZon</w:t>
        </w:r>
      </w:hyperlink>
      <w:r>
        <w:rPr>
          <w:rFonts w:ascii="Calibri" w:cs="Calibri" w:eastAsia="Calibri" w:hAnsi="Calibri"/>
          <w:sz w:val="22"/>
          <w:szCs w:val="22"/>
        </w:rPr>
        <w:t xml:space="preserve">, 60+ essays on systems thinking, AI workflows and platform operations.</w:t>
      </w:r>
    </w:p>
    <w:p>
      <w:pPr>
        <w:spacing w:after="60" w:before="0" w:line="276"/>
      </w:pPr>
      <w:r>
        <w:rPr>
          <w:rFonts w:ascii="Calibri" w:cs="Calibri" w:eastAsia="Calibri" w:hAnsi="Calibri"/>
          <w:sz w:val="22"/>
          <w:szCs w:val="22"/>
        </w:rPr>
        <w:t xml:space="preserve">Built and ship </w:t>
      </w:r>
      <w:hyperlink w:history="1" r:id="rId19">
        <w:r>
          <w:rPr>
            <w:rFonts w:ascii="Calibri" w:cs="Calibri" w:eastAsia="Calibri" w:hAnsi="Calibri"/>
            <w:color w:val="0000EE"/>
            <w:sz w:val="22"/>
            <w:szCs w:val="22"/>
            <w:u w:val="single"/>
          </w:rPr>
          <w:t xml:space="preserve">TechYeet Gaming</w:t>
        </w:r>
      </w:hyperlink>
      <w:r>
        <w:rPr>
          <w:rFonts w:ascii="Calibri" w:cs="Calibri" w:eastAsia="Calibri" w:hAnsi="Calibri"/>
          <w:sz w:val="22"/>
          <w:szCs w:val="22"/>
        </w:rPr>
        <w:t xml:space="preserve">, monthly newsletter for the tech and gaming community.</w:t>
      </w:r>
    </w:p>
    <w:p>
      <w:pPr>
        <w:pBdr>
          <w:bottom w:val="single" w:color="000000" w:sz="6" w:space="1"/>
        </w:pBd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EDUCATION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B.S. in Computer Science</w:t>
      </w:r>
      <w:r>
        <w:rPr>
          <w:rFonts w:ascii="Calibri" w:cs="Calibri" w:eastAsia="Calibri" w:hAnsi="Calibri"/>
          <w:sz w:val="22"/>
          <w:szCs w:val="22"/>
        </w:rPr>
        <w:t xml:space="preserve">, Operations Management concentration. Clemson University.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4" Type="http://schemas.openxmlformats.org/officeDocument/2006/relationships/hyperlink" Target="https://www.linkedin.com/in/mcdonaldryank/" TargetMode="External"/><Relationship Id="rId15" Type="http://schemas.openxmlformats.org/officeDocument/2006/relationships/hyperlink" Target="https://github.com/ryemyster" TargetMode="External"/><Relationship Id="rId16" Type="http://schemas.openxmlformats.org/officeDocument/2006/relationships/hyperlink" Target="https://ryanmcdonaldus.substack.com/" TargetMode="External"/><Relationship Id="rId17" Type="http://schemas.openxmlformats.org/officeDocument/2006/relationships/hyperlink" Target="https://ryankmcdonald.netlify.app" TargetMode="External"/><Relationship Id="rId18" Type="http://schemas.openxmlformats.org/officeDocument/2006/relationships/hyperlink" Target="https://ryanmcdonaldus.substack.com/" TargetMode="External"/><Relationship Id="rId19" Type="http://schemas.openxmlformats.org/officeDocument/2006/relationships/hyperlink" Target="https://techyeet-gaming.netlify.app/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2026-05-06T20:52:56.773Z</dcterms:created>
  <dcterms:modified xsi:type="dcterms:W3CDTF">2026-05-06T20:52:56.774Z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