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pacing w:val="60"/>
          <w:sz w:val="40"/>
          <w:szCs w:val="40"/>
        </w:rPr>
        <w:t xml:space="preserve">RYAN K. McDONALD</w:t>
      </w:r>
    </w:p>
    <w:p>
      <w:pPr>
        <w:spacing w:after="60"/>
        <w:jc w:val="center"/>
      </w:pPr>
      <w:r>
        <w:rPr>
          <w:rFonts w:ascii="Calibri" w:cs="Calibri" w:eastAsia="Calibri" w:hAnsi="Calibri"/>
          <w:i/>
          <w:iCs/>
          <w:color w:val="595959"/>
          <w:sz w:val="21"/>
          <w:szCs w:val="21"/>
        </w:rPr>
        <w:t xml:space="preserve">Senior Platform PM · Platform, AI &amp; Operational Systems · Security &amp; Data Infrastructure</w:t>
      </w:r>
    </w:p>
    <w:p>
      <w:pPr>
        <w:pBdr>
          <w:bottom w:val="single" w:color="1F4E79" w:sz="8" w:space="4"/>
        </w:pBdr>
        <w:spacing w:after="100"/>
        <w:jc w:val="center"/>
      </w:pPr>
      <w:r>
        <w:rPr>
          <w:rFonts w:ascii="Calibri" w:cs="Calibri" w:eastAsia="Calibri" w:hAnsi="Calibri"/>
          <w:sz w:val="19"/>
          <w:szCs w:val="19"/>
        </w:rPr>
        <w:t xml:space="preserve">Denver, CO   ·   ryan.mcdonald.us@gmail.com   ·   </w:t>
      </w:r>
      <w:hyperlink w:history="1" r:id="rId14">
        <w:r>
          <w:rPr>
            <w:rFonts w:ascii="Calibri" w:cs="Calibri" w:eastAsia="Calibri" w:hAnsi="Calibri"/>
            <w:color w:val="0563C1"/>
            <w:sz w:val="19"/>
            <w:szCs w:val="19"/>
            <w:u w:val="single"/>
          </w:rPr>
          <w:t xml:space="preserve">LinkedIn</w:t>
        </w:r>
      </w:hyperlink>
      <w:r>
        <w:rPr>
          <w:rFonts w:ascii="Calibri" w:cs="Calibri" w:eastAsia="Calibri" w:hAnsi="Calibri"/>
          <w:sz w:val="19"/>
          <w:szCs w:val="19"/>
        </w:rPr>
        <w:t xml:space="preserve">   ·   </w:t>
      </w:r>
      <w:hyperlink w:history="1" r:id="rId15">
        <w:r>
          <w:rPr>
            <w:rFonts w:ascii="Calibri" w:cs="Calibri" w:eastAsia="Calibri" w:hAnsi="Calibri"/>
            <w:color w:val="0563C1"/>
            <w:sz w:val="19"/>
            <w:szCs w:val="19"/>
            <w:u w:val="single"/>
          </w:rPr>
          <w:t xml:space="preserve">GitHub</w:t>
        </w:r>
      </w:hyperlink>
      <w:r>
        <w:rPr>
          <w:rFonts w:ascii="Calibri" w:cs="Calibri" w:eastAsia="Calibri" w:hAnsi="Calibri"/>
          <w:sz w:val="19"/>
          <w:szCs w:val="19"/>
        </w:rPr>
        <w:t xml:space="preserve">   ·   </w:t>
      </w:r>
      <w:hyperlink w:history="1" r:id="rId16">
        <w:r>
          <w:rPr>
            <w:rFonts w:ascii="Calibri" w:cs="Calibri" w:eastAsia="Calibri" w:hAnsi="Calibri"/>
            <w:color w:val="0563C1"/>
            <w:sz w:val="19"/>
            <w:szCs w:val="19"/>
            <w:u w:val="single"/>
          </w:rPr>
          <w:t xml:space="preserve">Signal HoriZon</w:t>
        </w:r>
      </w:hyperlink>
      <w:r>
        <w:rPr>
          <w:rFonts w:ascii="Calibri" w:cs="Calibri" w:eastAsia="Calibri" w:hAnsi="Calibri"/>
          <w:sz w:val="19"/>
          <w:szCs w:val="19"/>
        </w:rPr>
        <w:t xml:space="preserve">   ·   </w:t>
      </w:r>
      <w:hyperlink w:history="1" r:id="rId17">
        <w:r>
          <w:rPr>
            <w:rFonts w:ascii="Calibri" w:cs="Calibri" w:eastAsia="Calibri" w:hAnsi="Calibri"/>
            <w:color w:val="0563C1"/>
            <w:sz w:val="19"/>
            <w:szCs w:val="19"/>
            <w:u w:val="single"/>
          </w:rPr>
          <w:t xml:space="preserve">Portfolio</w:t>
        </w:r>
      </w:hyperlink>
    </w:p>
    <w:p>
      <w:pPr>
        <w:spacing w:after="160" w:before="100" w:line="280"/>
        <w:jc w:val="both"/>
      </w:pPr>
      <w:r>
        <w:rPr>
          <w:rFonts w:ascii="Calibri" w:cs="Calibri" w:eastAsia="Calibri" w:hAnsi="Calibri"/>
          <w:sz w:val="20"/>
          <w:szCs w:val="20"/>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0"/>
        <w:gridCol w:w="360"/>
        <w:gridCol w:w="324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Bdr>
                <w:bottom w:val="single" w:color="1F4E79" w:sz="8" w:space="1"/>
              </w:pBdr>
              <w:spacing w:after="80" w:before="200"/>
            </w:pPr>
            <w:r>
              <w:rPr>
                <w:rFonts w:ascii="Calibri" w:cs="Calibri" w:eastAsia="Calibri" w:hAnsi="Calibri"/>
                <w:b/>
                <w:bCs/>
                <w:color w:val="1F4E79"/>
                <w:spacing w:val="20"/>
                <w:sz w:val="22"/>
                <w:szCs w:val="22"/>
              </w:rPr>
              <w:t xml:space="preserve">SELECTED IMPACT</w:t>
            </w:r>
          </w:p>
          <w:p>
            <w:pPr>
              <w:pStyle w:val="ListParagraph"/>
              <w:numPr>
                <w:ilvl w:val="0"/>
                <w:numId w:val="2"/>
              </w:numPr>
              <w:spacing w:after="40" w:before="40" w:line="260"/>
            </w:pPr>
            <w:r>
              <w:rPr>
                <w:rFonts w:ascii="Calibri" w:cs="Calibri" w:eastAsia="Calibri" w:hAnsi="Calibri"/>
                <w:b/>
                <w:bCs/>
                <w:sz w:val="20"/>
                <w:szCs w:val="20"/>
              </w:rPr>
              <w:t xml:space="preserve">$60K/month in coordination overhead removed at Bank of America.</w:t>
            </w:r>
            <w:r>
              <w:rPr>
                <w:rFonts w:ascii="Calibri" w:cs="Calibri" w:eastAsia="Calibri" w:hAnsi="Calibri"/>
                <w:sz w:val="20"/>
                <w:szCs w:val="20"/>
              </w:rPr>
              <w:t xml:space="preserve"> Restructured decision rights across 3 organizations on a stalled SIEM modernization.</w:t>
            </w:r>
          </w:p>
          <w:p>
            <w:pPr>
              <w:pStyle w:val="ListParagraph"/>
              <w:numPr>
                <w:ilvl w:val="0"/>
                <w:numId w:val="2"/>
              </w:numPr>
              <w:spacing w:after="40" w:before="40" w:line="260"/>
            </w:pPr>
            <w:r>
              <w:rPr>
                <w:rFonts w:ascii="Calibri" w:cs="Calibri" w:eastAsia="Calibri" w:hAnsi="Calibri"/>
                <w:b/>
                <w:bCs/>
                <w:sz w:val="20"/>
                <w:szCs w:val="20"/>
              </w:rPr>
              <w:t xml:space="preserve">$500K in platform funding unlocked at Splunk.</w:t>
            </w:r>
            <w:r>
              <w:rPr>
                <w:rFonts w:ascii="Calibri" w:cs="Calibri" w:eastAsia="Calibri" w:hAnsi="Calibri"/>
                <w:sz w:val="20"/>
                <w:szCs w:val="20"/>
              </w:rPr>
              <w:t xml:space="preserve"> Adoption results made the argument. No business case document required.</w:t>
            </w:r>
          </w:p>
          <w:p>
            <w:pPr>
              <w:pStyle w:val="ListParagraph"/>
              <w:numPr>
                <w:ilvl w:val="0"/>
                <w:numId w:val="2"/>
              </w:numPr>
              <w:spacing w:after="40" w:before="40" w:line="260"/>
            </w:pPr>
            <w:r>
              <w:rPr>
                <w:rFonts w:ascii="Calibri" w:cs="Calibri" w:eastAsia="Calibri" w:hAnsi="Calibri"/>
                <w:b/>
                <w:bCs/>
                <w:sz w:val="20"/>
                <w:szCs w:val="20"/>
              </w:rPr>
              <w:t xml:space="preserve">$5M in enterprise renewals held at Yahoo Edgecast</w:t>
            </w:r>
            <w:r>
              <w:rPr>
                <w:rFonts w:ascii="Calibri" w:cs="Calibri" w:eastAsia="Calibri" w:hAnsi="Calibri"/>
                <w:sz w:val="20"/>
                <w:szCs w:val="20"/>
              </w:rPr>
              <w:t xml:space="preserve"> through 2 acquisitions. Disney and Discovery on the line. Re-sequenced the roadmap around what customers said in renewal calls.</w:t>
            </w:r>
          </w:p>
          <w:p>
            <w:pPr>
              <w:pStyle w:val="ListParagraph"/>
              <w:numPr>
                <w:ilvl w:val="0"/>
                <w:numId w:val="2"/>
              </w:numPr>
              <w:spacing w:after="40" w:before="40" w:line="260"/>
            </w:pPr>
            <w:r>
              <w:rPr>
                <w:rFonts w:ascii="Calibri" w:cs="Calibri" w:eastAsia="Calibri" w:hAnsi="Calibri"/>
                <w:b/>
                <w:bCs/>
                <w:sz w:val="20"/>
                <w:szCs w:val="20"/>
              </w:rPr>
              <w:t xml:space="preserve">10 weeks to 3 weeks time-to-value at Splunk.</w:t>
            </w:r>
            <w:r>
              <w:rPr>
                <w:rFonts w:ascii="Calibri" w:cs="Calibri" w:eastAsia="Calibri" w:hAnsi="Calibri"/>
                <w:sz w:val="20"/>
                <w:szCs w:val="20"/>
              </w:rPr>
              <w:t xml:space="preserve"> Rebuilt onboarding as a product surface. Same CS team.</w:t>
            </w:r>
          </w:p>
          <w:p>
            <w:pPr>
              <w:pStyle w:val="ListParagraph"/>
              <w:numPr>
                <w:ilvl w:val="0"/>
                <w:numId w:val="2"/>
              </w:numPr>
              <w:spacing w:after="40" w:before="40" w:line="260"/>
            </w:pPr>
            <w:r>
              <w:rPr>
                <w:rFonts w:ascii="Calibri" w:cs="Calibri" w:eastAsia="Calibri" w:hAnsi="Calibri"/>
                <w:b/>
                <w:bCs/>
                <w:sz w:val="20"/>
                <w:szCs w:val="20"/>
              </w:rPr>
              <w:t xml:space="preserve">Patent for Fast Channels delivery architecture.</w:t>
            </w:r>
            <w:r>
              <w:rPr>
                <w:rFonts w:ascii="Calibri" w:cs="Calibri" w:eastAsia="Calibri" w:hAnsi="Calibri"/>
                <w:sz w:val="20"/>
                <w:szCs w:val="20"/>
              </w:rPr>
              <w:t xml:space="preserve"> Competed directly with Yahoo Edgecast's platform. Later became the basis for recruitment there.</w:t>
            </w:r>
          </w:p>
          <w:p>
            <w:pPr>
              <w:pStyle w:val="ListParagraph"/>
              <w:numPr>
                <w:ilvl w:val="0"/>
                <w:numId w:val="2"/>
              </w:numPr>
              <w:spacing w:after="40" w:before="40" w:line="260"/>
            </w:pPr>
            <w:r>
              <w:rPr>
                <w:rFonts w:ascii="Calibri" w:cs="Calibri" w:eastAsia="Calibri" w:hAnsi="Calibri"/>
                <w:b/>
                <w:bCs/>
                <w:sz w:val="20"/>
                <w:szCs w:val="20"/>
              </w:rPr>
              <w:t>Designed and trademarked AOSI® (Agent Orchestrated Self Improvement). Built the Founder OS pipeline, shipped Check-In by Ascendvent to production and open-sourced the architecture on GitHub.</w:t>
            </w:r>
          </w:p>
          <w:p>
            <w:pPr>
              <w:pBdr>
                <w:bottom w:val="single" w:color="1F4E79" w:sz="8" w:space="1"/>
              </w:pBdr>
              <w:spacing w:after="80" w:before="200"/>
            </w:pPr>
            <w:r>
              <w:rPr>
                <w:rFonts w:ascii="Calibri" w:cs="Calibri" w:eastAsia="Calibri" w:hAnsi="Calibri"/>
                <w:b/>
                <w:bCs/>
                <w:color w:val="1F4E79"/>
                <w:spacing w:val="20"/>
                <w:sz w:val="22"/>
                <w:szCs w:val="22"/>
              </w:rPr>
              <w:t xml:space="preserve">PROFESSIONAL EXPERIENCE</w:t>
            </w:r>
          </w:p>
          <w:p>
            <w:pPr>
              <w:tabs>
                <w:tab w:val="right" w:pos="7000"/>
              </w:tabs>
              <w:spacing w:after="0" w:before="160"/>
            </w:pPr>
            <w:r>
              <w:rPr>
                <w:rFonts w:ascii="Calibri" w:cs="Calibri" w:eastAsia="Calibri" w:hAnsi="Calibri"/>
                <w:b/>
                <w:bCs/>
                <w:sz w:val="21"/>
                <w:szCs w:val="21"/>
              </w:rPr>
              <w:t xml:space="preserve">Senior Product Manager (Contract)</w:t>
            </w:r>
            <w:r>
              <w:rPr>
                <w:rFonts w:ascii="Calibri" w:cs="Calibri" w:eastAsia="Calibri" w:hAnsi="Calibri"/>
                <w:sz w:val="20"/>
                <w:szCs w:val="20"/>
              </w:rPr>
              <w:t xml:space="preserve">	</w:t>
            </w:r>
            <w:r>
              <w:rPr>
                <w:rFonts w:ascii="Calibri" w:cs="Calibri" w:eastAsia="Calibri" w:hAnsi="Calibri"/>
                <w:i/>
                <w:iCs/>
                <w:color w:val="595959"/>
                <w:sz w:val="19"/>
                <w:szCs w:val="19"/>
              </w:rPr>
              <w:t xml:space="preserve">Oct 2025 – Mar 2026</w:t>
            </w:r>
          </w:p>
          <w:p>
            <w:pPr>
              <w:spacing w:after="30" w:before="0"/>
            </w:pPr>
            <w:r>
              <w:rPr>
                <w:rFonts w:ascii="Calibri" w:cs="Calibri" w:eastAsia="Calibri" w:hAnsi="Calibri"/>
                <w:b/>
                <w:bCs/>
                <w:color w:val="1F4E79"/>
                <w:sz w:val="20"/>
                <w:szCs w:val="20"/>
              </w:rPr>
              <w:t xml:space="preserve">Bank of America via Apex Systems</w:t>
            </w:r>
          </w:p>
          <w:p>
            <w:pPr>
              <w:spacing w:after="60" w:before="0" w:line="240"/>
            </w:pPr>
            <w:r>
              <w:rPr>
                <w:rFonts w:ascii="Calibri" w:cs="Calibri" w:eastAsia="Calibri" w:hAnsi="Calibri"/>
                <w:i/>
                <w:iCs/>
                <w:color w:val="595959"/>
                <w:sz w:val="19"/>
                <w:szCs w:val="19"/>
              </w:rPr>
              <w:t xml:space="preserve">Owned program governance and operating model for a SIEM modernization spanning security operations, engineering and compliance across 3 organizations.</w:t>
            </w:r>
          </w:p>
          <w:p>
            <w:pPr>
              <w:pStyle w:val="ListParagraph"/>
              <w:numPr>
                <w:ilvl w:val="0"/>
                <w:numId w:val="2"/>
              </w:numPr>
              <w:spacing w:after="40" w:before="40" w:line="260"/>
            </w:pPr>
            <w:r>
              <w:rPr>
                <w:rFonts w:ascii="Calibri" w:cs="Calibri" w:eastAsia="Calibri" w:hAnsi="Calibri"/>
                <w:sz w:val="20"/>
                <w:szCs w:val="20"/>
              </w:rPr>
              <w:t xml:space="preserve">The program had produced zero detections in 6 months. Decision rights were undefined across security ops, engineering and compliance. Restructured ownership across all 3 organizations and removed ~$60K/month in coordination overhead tracked against PI planning cycle output.</w:t>
            </w:r>
          </w:p>
          <w:p>
            <w:pPr>
              <w:pStyle w:val="ListParagraph"/>
              <w:numPr>
                <w:ilvl w:val="0"/>
                <w:numId w:val="2"/>
              </w:numPr>
              <w:spacing w:after="40" w:before="40" w:line="260"/>
            </w:pPr>
            <w:r>
              <w:rPr>
                <w:rFonts w:ascii="Calibri" w:cs="Calibri" w:eastAsia="Calibri" w:hAnsi="Calibri"/>
                <w:sz w:val="20"/>
                <w:szCs w:val="20"/>
              </w:rPr>
              <w:t xml:space="preserve">Separated detection research from production commitments. Once those were decoupled, teams could forecast reliably and commit to a delivery schedule.</w:t>
            </w:r>
          </w:p>
          <w:p>
            <w:pPr>
              <w:pStyle w:val="ListParagraph"/>
              <w:numPr>
                <w:ilvl w:val="0"/>
                <w:numId w:val="2"/>
              </w:numPr>
              <w:spacing w:after="40" w:before="40" w:line="260"/>
            </w:pPr>
            <w:r>
              <w:rPr>
                <w:rFonts w:ascii="Calibri" w:cs="Calibri" w:eastAsia="Calibri" w:hAnsi="Calibri"/>
                <w:sz w:val="20"/>
                <w:szCs w:val="20"/>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40" w:before="40" w:line="260"/>
            </w:pPr>
            <w:r>
              <w:rPr>
                <w:rFonts w:ascii="Calibri" w:cs="Calibri" w:eastAsia="Calibri" w:hAnsi="Calibri"/>
                <w:sz w:val="20"/>
                <w:szCs w:val="20"/>
              </w:rPr>
              <w:t xml:space="preserve">Standardized detection onboarding workflows. Reduced rework on the way into production.</w:t>
            </w:r>
          </w:p>
          <w:p>
            <w:pPr>
              <w:tabs>
                <w:tab w:val="right" w:pos="7000"/>
              </w:tabs>
              <w:spacing w:after="0" w:before="160"/>
            </w:pPr>
            <w:r>
              <w:rPr>
                <w:rFonts w:ascii="Calibri" w:cs="Calibri" w:eastAsia="Calibri" w:hAnsi="Calibri"/>
                <w:b/>
                <w:bCs/>
                <w:sz w:val="21"/>
                <w:szCs w:val="21"/>
              </w:rPr>
              <w:t xml:space="preserve">Founder &amp; Product Lead</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2024 – Present</w:t>
            </w:r>
          </w:p>
          <w:p>
            <w:pPr>
              <w:spacing w:after="30" w:before="0"/>
            </w:pPr>
            <w:r>
              <w:rPr>
                <w:rFonts w:ascii="Calibri" w:cs="Calibri" w:eastAsia="Calibri" w:hAnsi="Calibri"/>
                <w:b/>
                <w:bCs/>
                <w:color w:val="1F4E79"/>
                <w:sz w:val="20"/>
                <w:szCs w:val="20"/>
              </w:rPr>
              <w:t xml:space="preserve">Ascendvent</w:t>
            </w:r>
          </w:p>
          <w:p>
            <w:pPr>
              <w:spacing w:after="60" w:before="0" w:line="240"/>
            </w:pPr>
            <w:r>
              <w:rPr>
                <w:rFonts w:ascii="Calibri" w:cs="Calibri" w:eastAsia="Calibri" w:hAnsi="Calibri"/>
                <w:i/>
                <w:iCs/>
                <w:color w:val="595959"/>
                <w:sz w:val="19"/>
                <w:szCs w:val="19"/>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40" w:before="40" w:line="260"/>
            </w:pPr>
            <w:r>
              <w:rPr>
                <w:rFonts w:ascii="Calibri" w:cs="Calibri" w:eastAsia="Calibri" w:hAnsi="Calibri"/>
                <w:sz w:val="20"/>
                <w:szCs w:val="20"/>
              </w:rPr>
              <w:t xml:space="preserve">Built the Founder OS, an 11-stage AI-gated product development pipeline running on a custom MCP server. Preflight validation gates each stage. PRD generation uses a Karpathy-style generate-score-improve loop with Sonnet writing and Haiku scoring.</w:t>
            </w:r>
          </w:p>
          <w:p>
            <w:pPr>
              <w:pStyle w:val="ListParagraph"/>
              <w:numPr>
                <w:ilvl w:val="0"/>
                <w:numId w:val="2"/>
              </w:numPr>
              <w:spacing w:after="40" w:before="40" w:line="260"/>
            </w:pPr>
            <w:r>
              <w:rPr>
                <w:rFonts w:ascii="Calibri" w:cs="Calibri" w:eastAsia="Calibri" w:hAnsi="Calibri"/>
                <w:sz w:val="20"/>
                <w:szCs w:val="20"/>
              </w:rPr>
              <w:t>Check-In by Ascendvent is live at checkin.ascendvent.life. AI generates personalized client check-ins in the coach’s voice and pre-session briefs from client responses. Built with Claude Code, Supabase and Stripe. Pro plan at $40/month.</w:t>
            </w:r>
          </w:p>
          <w:p>
            <w:pPr>
              <w:pStyle w:val="ListParagraph"/>
              <w:numPr>
                <w:ilvl w:val="0"/>
                <w:numId w:val="2"/>
              </w:numPr>
              <w:spacing w:after="40" w:before="40" w:line="260"/>
            </w:pPr>
            <w:r>
              <w:rPr>
                <w:rFonts w:ascii="Calibri" w:cs="Calibri" w:eastAsia="Calibri" w:hAnsi="Calibri"/>
                <w:sz w:val="20"/>
                <w:szCs w:val="20"/>
              </w:rPr>
              <w:t>Open-sourced AgentOS and AutoResearch on GitHub. Public proof of agentic architecture judgment.</w:t>
            </w:r>
          </w:p>
          <w:p>
            <w:pPr>
              <w:pStyle w:val="ListParagraph"/>
              <w:numPr>
                <w:ilvl w:val="0"/>
                <w:numId w:val="2"/>
              </w:numPr>
              <w:spacing w:after="40" w:before="40" w:line="260"/>
            </w:pPr>
            <w:r>
              <w:rPr>
                <w:rFonts w:ascii="Calibri" w:cs="Calibri" w:eastAsia="Calibri" w:hAnsi="Calibri"/>
                <w:sz w:val="20"/>
                <w:szCs w:val="20"/>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40" w:before="40" w:line="260"/>
            </w:pPr>
            <w:r>
              <w:rPr>
                <w:rFonts w:ascii="Calibri" w:cs="Calibri" w:eastAsia="Calibri" w:hAnsi="Calibri"/>
                <w:sz w:val="20"/>
                <w:szCs w:val="20"/>
              </w:rPr>
              <w:t xml:space="preserve">Publishing systems thinking on Signal HoriZon. 62 posts on operating models, product organizations and agent infrastructure.</w:t>
            </w:r>
          </w:p>
          <w:p>
            <w:pPr>
              <w:tabs>
                <w:tab w:val="right" w:pos="7000"/>
              </w:tabs>
              <w:spacing w:after="0" w:before="160"/>
            </w:pPr>
            <w:r>
              <w:rPr>
                <w:rFonts w:ascii="Calibri" w:cs="Calibri" w:eastAsia="Calibri" w:hAnsi="Calibri"/>
                <w:b/>
                <w:bCs/>
                <w:sz w:val="21"/>
                <w:szCs w:val="21"/>
              </w:rPr>
              <w:t xml:space="preserve">Senior Product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2022 – 2024</w:t>
            </w:r>
          </w:p>
          <w:p>
            <w:pPr>
              <w:spacing w:after="30" w:before="0"/>
            </w:pPr>
            <w:r>
              <w:rPr>
                <w:rFonts w:ascii="Calibri" w:cs="Calibri" w:eastAsia="Calibri" w:hAnsi="Calibri"/>
                <w:b/>
                <w:bCs/>
                <w:color w:val="1F4E79"/>
                <w:sz w:val="20"/>
                <w:szCs w:val="20"/>
              </w:rPr>
              <w:t xml:space="preserve">Splunk</w:t>
            </w:r>
          </w:p>
          <w:p>
            <w:pPr>
              <w:spacing w:after="60" w:before="0" w:line="240"/>
            </w:pPr>
            <w:r>
              <w:rPr>
                <w:rFonts w:ascii="Calibri" w:cs="Calibri" w:eastAsia="Calibri" w:hAnsi="Calibri"/>
                <w:i/>
                <w:iCs/>
                <w:color w:val="595959"/>
                <w:sz w:val="19"/>
                <w:szCs w:val="19"/>
              </w:rPr>
              <w:t xml:space="preserve">Owned the security content platform within Splunk Enterprise Security. Security content was scattered across multiple locations. Customers were doing detection work in CI/CD pipelines outside the platform and pushing it back in, which created friction in both directions.</w:t>
            </w:r>
          </w:p>
          <w:p>
            <w:pPr>
              <w:pStyle w:val="ListParagraph"/>
              <w:numPr>
                <w:ilvl w:val="0"/>
                <w:numId w:val="2"/>
              </w:numPr>
              <w:spacing w:after="40" w:before="40" w:line="260"/>
            </w:pPr>
            <w:r>
              <w:rPr>
                <w:rFonts w:ascii="Calibri" w:cs="Calibri" w:eastAsia="Calibri" w:hAnsi="Calibri"/>
                <w:sz w:val="20"/>
                <w:szCs w:val="20"/>
              </w:rPr>
              <w:t xml:space="preserve">Security content was scattered and customers were building detections in their own CI/CD pipelines outside the platform. After interviewing users, shifted the roadmap to version control and content management features built around their existing workflows. Drove 12% adoption lift across 2,000+ enterprise customers.</w:t>
            </w:r>
          </w:p>
          <w:p>
            <w:pPr>
              <w:pStyle w:val="ListParagraph"/>
              <w:numPr>
                <w:ilvl w:val="0"/>
                <w:numId w:val="2"/>
              </w:numPr>
              <w:spacing w:after="40" w:before="40" w:line="260"/>
            </w:pPr>
            <w:r>
              <w:rPr>
                <w:rFonts w:ascii="Calibri" w:cs="Calibri" w:eastAsia="Calibri" w:hAnsi="Calibri"/>
                <w:sz w:val="20"/>
                <w:szCs w:val="20"/>
              </w:rPr>
              <w:t xml:space="preserve">Adoption metrics, not a formal business case, unlocked $500K in additional platform funding.</w:t>
            </w:r>
          </w:p>
          <w:p>
            <w:pPr>
              <w:pStyle w:val="ListParagraph"/>
              <w:numPr>
                <w:ilvl w:val="0"/>
                <w:numId w:val="2"/>
              </w:numPr>
              <w:spacing w:after="40" w:before="40" w:line="260"/>
            </w:pPr>
            <w:r>
              <w:rPr>
                <w:rFonts w:ascii="Calibri" w:cs="Calibri" w:eastAsia="Calibri" w:hAnsi="Calibri"/>
                <w:sz w:val="20"/>
                <w:szCs w:val="20"/>
              </w:rPr>
              <w:t xml:space="preserve">Converted onboarding from a services handoff into a self-serve product experience. Reduced time-to-value from 10 weeks to 3 with the same CS team.</w:t>
            </w:r>
          </w:p>
          <w:p>
            <w:pPr>
              <w:pStyle w:val="ListParagraph"/>
              <w:numPr>
                <w:ilvl w:val="0"/>
                <w:numId w:val="2"/>
              </w:numPr>
              <w:spacing w:after="40" w:before="40" w:line="260"/>
            </w:pPr>
            <w:r>
              <w:rPr>
                <w:rFonts w:ascii="Calibri" w:cs="Calibri" w:eastAsia="Calibri" w:hAnsi="Calibri"/>
                <w:sz w:val="20"/>
                <w:szCs w:val="20"/>
              </w:rPr>
              <w:t xml:space="preserve">Replaced activity-based reporting with activation and retention dashboards so leadership could see real product health.</w:t>
            </w:r>
          </w:p>
          <w:p>
            <w:pPr>
              <w:pStyle w:val="ListParagraph"/>
              <w:numPr>
                <w:ilvl w:val="0"/>
                <w:numId w:val="2"/>
              </w:numPr>
              <w:spacing w:after="40" w:before="40" w:line="260"/>
            </w:pPr>
            <w:r>
              <w:rPr>
                <w:rFonts w:ascii="Calibri" w:cs="Calibri" w:eastAsia="Calibri" w:hAnsi="Calibri"/>
                <w:sz w:val="20"/>
                <w:szCs w:val="20"/>
              </w:rPr>
              <w:t xml:space="preserve">Championed a bring-your-own-repo architecture for automatic content ingestion. This approach is now core to tools like Anvilogic.</w:t>
            </w:r>
          </w:p>
          <w:p>
            <w:pPr>
              <w:tabs>
                <w:tab w:val="right" w:pos="7000"/>
              </w:tabs>
              <w:spacing w:after="0" w:before="160"/>
            </w:pPr>
            <w:r>
              <w:rPr>
                <w:rFonts w:ascii="Calibri" w:cs="Calibri" w:eastAsia="Calibri" w:hAnsi="Calibri"/>
                <w:b/>
                <w:bCs/>
                <w:sz w:val="21"/>
                <w:szCs w:val="21"/>
              </w:rPr>
              <w:t xml:space="preserve">Senior Technical Product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2021 – 2022</w:t>
            </w:r>
          </w:p>
          <w:p>
            <w:pPr>
              <w:spacing w:after="30" w:before="0"/>
            </w:pPr>
            <w:r>
              <w:rPr>
                <w:rFonts w:ascii="Calibri" w:cs="Calibri" w:eastAsia="Calibri" w:hAnsi="Calibri"/>
                <w:b/>
                <w:bCs/>
                <w:color w:val="1F4E79"/>
                <w:sz w:val="20"/>
                <w:szCs w:val="20"/>
              </w:rPr>
              <w:t xml:space="preserve">Yahoo Edgecast</w:t>
            </w:r>
          </w:p>
          <w:p>
            <w:pPr>
              <w:spacing w:after="60" w:before="0" w:line="240"/>
            </w:pPr>
            <w:r>
              <w:rPr>
                <w:rFonts w:ascii="Calibri" w:cs="Calibri" w:eastAsia="Calibri" w:hAnsi="Calibri"/>
                <w:i/>
                <w:iCs/>
                <w:color w:val="595959"/>
                <w:sz w:val="19"/>
                <w:szCs w:val="19"/>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40" w:before="40" w:line="260"/>
            </w:pPr>
            <w:r>
              <w:rPr>
                <w:rFonts w:ascii="Calibri" w:cs="Calibri" w:eastAsia="Calibri" w:hAnsi="Calibri"/>
                <w:sz w:val="20"/>
                <w:szCs w:val="20"/>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40" w:before="40" w:line="260"/>
            </w:pPr>
            <w:r>
              <w:rPr>
                <w:rFonts w:ascii="Calibri" w:cs="Calibri" w:eastAsia="Calibri" w:hAnsi="Calibri"/>
                <w:sz w:val="20"/>
                <w:szCs w:val="20"/>
              </w:rPr>
              <w:t xml:space="preserve">Delivered geo-blocking and live time-shift under hard deadlines during both ownership transitions. The company had every excuse to miss. Contracts stayed intact.</w:t>
            </w:r>
          </w:p>
          <w:p>
            <w:pPr>
              <w:pStyle w:val="ListParagraph"/>
              <w:numPr>
                <w:ilvl w:val="0"/>
                <w:numId w:val="2"/>
              </w:numPr>
              <w:spacing w:after="40" w:before="40" w:line="260"/>
            </w:pPr>
            <w:r>
              <w:rPr>
                <w:rFonts w:ascii="Calibri" w:cs="Calibri" w:eastAsia="Calibri" w:hAnsi="Calibri"/>
                <w:sz w:val="20"/>
                <w:szCs w:val="20"/>
              </w:rPr>
              <w:t xml:space="preserve">Built session-based playback end-to-end, giving live-stream viewers pause, rewind and replay. 35% engagement lift within months. That is what the retention commitments were built on.</w:t>
            </w:r>
          </w:p>
          <w:p>
            <w:pPr>
              <w:pStyle w:val="ListParagraph"/>
              <w:numPr>
                <w:ilvl w:val="0"/>
                <w:numId w:val="2"/>
              </w:numPr>
              <w:spacing w:after="40" w:before="40" w:line="260"/>
            </w:pPr>
            <w:r>
              <w:rPr>
                <w:rFonts w:ascii="Calibri" w:cs="Calibri" w:eastAsia="Calibri" w:hAnsi="Calibri"/>
                <w:sz w:val="20"/>
                <w:szCs w:val="20"/>
              </w:rPr>
              <w:t xml:space="preserve">Reduced cloud storage costs 18% through session caching. Same experience for the user, fraction of the DVR infrastructure cost.</w:t>
            </w:r>
          </w:p>
          <w:p>
            <w:pPr>
              <w:tabs>
                <w:tab w:val="right" w:pos="7000"/>
              </w:tabs>
              <w:spacing w:after="0" w:before="160"/>
            </w:pPr>
            <w:r>
              <w:rPr>
                <w:rFonts w:ascii="Calibri" w:cs="Calibri" w:eastAsia="Calibri" w:hAnsi="Calibri"/>
                <w:b/>
                <w:bCs/>
                <w:sz w:val="21"/>
                <w:szCs w:val="21"/>
              </w:rPr>
              <w:t xml:space="preserve">Associate Director, Product</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2019 – 2021</w:t>
            </w:r>
          </w:p>
          <w:p>
            <w:pPr>
              <w:spacing w:after="30" w:before="0"/>
            </w:pPr>
            <w:r>
              <w:rPr>
                <w:rFonts w:ascii="Calibri" w:cs="Calibri" w:eastAsia="Calibri" w:hAnsi="Calibri"/>
                <w:b/>
                <w:bCs/>
                <w:color w:val="1F4E79"/>
                <w:sz w:val="20"/>
                <w:szCs w:val="20"/>
              </w:rPr>
              <w:t xml:space="preserve">Cognizant</w:t>
            </w:r>
          </w:p>
          <w:p>
            <w:pPr>
              <w:spacing w:after="60" w:before="0" w:line="240"/>
            </w:pPr>
            <w:r>
              <w:rPr>
                <w:rFonts w:ascii="Calibri" w:cs="Calibri" w:eastAsia="Calibri" w:hAnsi="Calibri"/>
                <w:i/>
                <w:iCs/>
                <w:color w:val="595959"/>
                <w:sz w:val="19"/>
                <w:szCs w:val="19"/>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40" w:before="40" w:line="260"/>
            </w:pPr>
            <w:r>
              <w:rPr>
                <w:rFonts w:ascii="Calibri" w:cs="Calibri" w:eastAsia="Calibri" w:hAnsi="Calibri"/>
                <w:sz w:val="20"/>
                <w:szCs w:val="20"/>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40" w:before="40" w:line="260"/>
            </w:pPr>
            <w:r>
              <w:rPr>
                <w:rFonts w:ascii="Calibri" w:cs="Calibri" w:eastAsia="Calibri" w:hAnsi="Calibri"/>
                <w:sz w:val="20"/>
                <w:szCs w:val="20"/>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40" w:before="40" w:line="260"/>
            </w:pPr>
            <w:r>
              <w:rPr>
                <w:rFonts w:ascii="Calibri" w:cs="Calibri" w:eastAsia="Calibri" w:hAnsi="Calibri"/>
                <w:sz w:val="20"/>
                <w:szCs w:val="20"/>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7000"/>
              </w:tabs>
              <w:spacing w:after="0" w:before="160"/>
            </w:pPr>
            <w:r>
              <w:rPr>
                <w:rFonts w:ascii="Calibri" w:cs="Calibri" w:eastAsia="Calibri" w:hAnsi="Calibri"/>
                <w:b/>
                <w:bCs/>
                <w:sz w:val="21"/>
                <w:szCs w:val="21"/>
              </w:rPr>
              <w:t xml:space="preserve">Business Strategy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2017 – 2019</w:t>
            </w:r>
          </w:p>
          <w:p>
            <w:pPr>
              <w:spacing w:after="30" w:before="0"/>
            </w:pPr>
            <w:r>
              <w:rPr>
                <w:rFonts w:ascii="Calibri" w:cs="Calibri" w:eastAsia="Calibri" w:hAnsi="Calibri"/>
                <w:b/>
                <w:bCs/>
                <w:color w:val="1F4E79"/>
                <w:sz w:val="20"/>
                <w:szCs w:val="20"/>
              </w:rPr>
              <w:t xml:space="preserve">Accenture Strategy</w:t>
            </w:r>
          </w:p>
          <w:p>
            <w:pPr>
              <w:pStyle w:val="ListParagraph"/>
              <w:numPr>
                <w:ilvl w:val="0"/>
                <w:numId w:val="2"/>
              </w:numPr>
              <w:spacing w:after="40" w:before="40" w:line="260"/>
            </w:pPr>
            <w:r>
              <w:rPr>
                <w:rFonts w:ascii="Calibri" w:cs="Calibri" w:eastAsia="Calibri" w:hAnsi="Calibri"/>
                <w:sz w:val="20"/>
                <w:szCs w:val="20"/>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40" w:before="40" w:line="260"/>
            </w:pPr>
            <w:r>
              <w:rPr>
                <w:rFonts w:ascii="Calibri" w:cs="Calibri" w:eastAsia="Calibri" w:hAnsi="Calibri"/>
                <w:sz w:val="20"/>
                <w:szCs w:val="20"/>
              </w:rPr>
              <w:t xml:space="preserve">Launched an AI-driven broadcast outage detection system. Gave operations 72-hour advance warning on incidents that were previously catching them off guard.</w:t>
            </w:r>
          </w:p>
          <w:p>
            <w:pPr>
              <w:tabs>
                <w:tab w:val="right" w:pos="7000"/>
              </w:tabs>
              <w:spacing w:after="0" w:before="160"/>
            </w:pPr>
            <w:r>
              <w:rPr>
                <w:rFonts w:ascii="Calibri" w:cs="Calibri" w:eastAsia="Calibri" w:hAnsi="Calibri"/>
                <w:b/>
                <w:bCs/>
                <w:sz w:val="21"/>
                <w:szCs w:val="21"/>
              </w:rPr>
              <w:t xml:space="preserve">Technical Product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2015 – 2017</w:t>
            </w:r>
          </w:p>
          <w:p>
            <w:pPr>
              <w:spacing w:after="30" w:before="0"/>
            </w:pPr>
            <w:r>
              <w:rPr>
                <w:rFonts w:ascii="Calibri" w:cs="Calibri" w:eastAsia="Calibri" w:hAnsi="Calibri"/>
                <w:b/>
                <w:bCs/>
                <w:color w:val="1F4E79"/>
                <w:sz w:val="20"/>
                <w:szCs w:val="20"/>
              </w:rPr>
              <w:t xml:space="preserve">Disney ESPN</w:t>
            </w:r>
          </w:p>
          <w:p>
            <w:pPr>
              <w:pStyle w:val="ListParagraph"/>
              <w:numPr>
                <w:ilvl w:val="0"/>
                <w:numId w:val="2"/>
              </w:numPr>
              <w:spacing w:after="40" w:before="40" w:line="260"/>
            </w:pPr>
            <w:r>
              <w:rPr>
                <w:rFonts w:ascii="Calibri" w:cs="Calibri" w:eastAsia="Calibri" w:hAnsi="Calibri"/>
                <w:sz w:val="20"/>
                <w:szCs w:val="20"/>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40" w:before="40" w:line="260"/>
            </w:pPr>
            <w:r>
              <w:rPr>
                <w:rFonts w:ascii="Calibri" w:cs="Calibri" w:eastAsia="Calibri" w:hAnsi="Calibri"/>
                <w:sz w:val="20"/>
                <w:szCs w:val="20"/>
              </w:rPr>
              <w:t xml:space="preserve">Led the Flash-to-HTML5 migration. Owned the vendor tradeoffs and architecture decisions. 25% engagement increase and 60% improvement in ad insertion success.</w:t>
            </w:r>
          </w:p>
          <w:p>
            <w:pPr>
              <w:pStyle w:val="ListParagraph"/>
              <w:numPr>
                <w:ilvl w:val="0"/>
                <w:numId w:val="2"/>
              </w:numPr>
              <w:spacing w:after="40" w:before="40" w:line="260"/>
            </w:pPr>
            <w:r>
              <w:rPr>
                <w:rFonts w:ascii="Calibri" w:cs="Calibri" w:eastAsia="Calibri" w:hAnsi="Calibri"/>
                <w:sz w:val="20"/>
                <w:szCs w:val="20"/>
              </w:rPr>
              <w:t xml:space="preserve">Built end-to-end delivery measurement across Conviva, Nielsen, Freewheel, GAM, New Relic and SignalFx. First time leadership had unified visibility into player performance, ad delivery and audience behavior across properties.</w:t>
            </w:r>
          </w:p>
          <w:p>
            <w:pPr>
              <w:pStyle w:val="ListParagraph"/>
              <w:numPr>
                <w:ilvl w:val="0"/>
                <w:numId w:val="2"/>
              </w:numPr>
              <w:spacing w:after="40" w:before="40" w:line="260"/>
            </w:pPr>
            <w:r>
              <w:rPr>
                <w:rFonts w:ascii="Calibri" w:cs="Calibri" w:eastAsia="Calibri" w:hAnsi="Calibri"/>
                <w:sz w:val="20"/>
                <w:szCs w:val="20"/>
              </w:rPr>
              <w:t xml:space="preserve">Led the ad-tech POCs that shaped ESPN's move to Google Ad Manager. Evaluated vendor tradeoffs, documented the risks and gave leadership a clear basis for the decision.</w:t>
            </w:r>
          </w:p>
          <w:p>
            <w:pPr>
              <w:tabs>
                <w:tab w:val="right" w:pos="7000"/>
              </w:tabs>
              <w:spacing w:after="0" w:before="160"/>
            </w:pPr>
            <w:r>
              <w:rPr>
                <w:rFonts w:ascii="Calibri" w:cs="Calibri" w:eastAsia="Calibri" w:hAnsi="Calibri"/>
                <w:b/>
                <w:bCs/>
                <w:sz w:val="21"/>
                <w:szCs w:val="21"/>
              </w:rPr>
              <w:t xml:space="preserve">Technical Consultant</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2011 – 2015</w:t>
            </w:r>
          </w:p>
          <w:p>
            <w:pPr>
              <w:spacing w:after="30" w:before="0"/>
            </w:pPr>
            <w:r>
              <w:rPr>
                <w:rFonts w:ascii="Calibri" w:cs="Calibri" w:eastAsia="Calibri" w:hAnsi="Calibri"/>
                <w:b/>
                <w:bCs/>
                <w:color w:val="1F4E79"/>
                <w:sz w:val="20"/>
                <w:szCs w:val="20"/>
              </w:rPr>
              <w:t xml:space="preserve">Accenture Technology</w:t>
            </w:r>
          </w:p>
          <w:p>
            <w:pPr>
              <w:spacing w:after="60" w:before="0" w:line="240"/>
            </w:pPr>
            <w:r>
              <w:rPr>
                <w:rFonts w:ascii="Calibri" w:cs="Calibri" w:eastAsia="Calibri" w:hAnsi="Calibri"/>
                <w:i/>
                <w:iCs/>
                <w:color w:val="595959"/>
                <w:sz w:val="19"/>
                <w:szCs w:val="19"/>
              </w:rPr>
              <w:t xml:space="preserve">Led enterprise integration architecture and platform modernization for large-scale telecom and media clients.</w:t>
            </w:r>
          </w:p>
          <w:p>
            <w:pPr>
              <w:pStyle w:val="ListParagraph"/>
              <w:numPr>
                <w:ilvl w:val="0"/>
                <w:numId w:val="2"/>
              </w:numPr>
              <w:spacing w:after="40" w:before="40" w:line="260"/>
            </w:pPr>
            <w:r>
              <w:rPr>
                <w:rFonts w:ascii="Calibri" w:cs="Calibri" w:eastAsia="Calibri" w:hAnsi="Calibri"/>
                <w:b/>
                <w:bCs/>
                <w:sz w:val="20"/>
                <w:szCs w:val="20"/>
              </w:rPr>
              <w:t xml:space="preserve">Designed and patented the Fast Channels delivery architecture</w:t>
            </w:r>
            <w:r>
              <w:rPr>
                <w:rFonts w:ascii="Calibri" w:cs="Calibri" w:eastAsia="Calibri" w:hAnsi="Calibri"/>
                <w:sz w:val="20"/>
                <w:szCs w:val="20"/>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40" w:before="40" w:line="260"/>
            </w:pPr>
            <w:r>
              <w:rPr>
                <w:rFonts w:ascii="Calibri" w:cs="Calibri" w:eastAsia="Calibri" w:hAnsi="Calibri"/>
                <w:sz w:val="20"/>
                <w:szCs w:val="20"/>
              </w:rPr>
              <w:t xml:space="preserve">Directed a 25-engineer team across enterprise integration and platform modernization. Defined system boundaries, API contracts and dependency sequencing across provisioning, search, monitoring and operations.</w:t>
            </w:r>
          </w:p>
          <w:p>
            <w:pPr>
              <w:pStyle w:val="ListParagraph"/>
              <w:numPr>
                <w:ilvl w:val="0"/>
                <w:numId w:val="2"/>
              </w:numPr>
              <w:spacing w:after="40" w:before="40" w:line="260"/>
            </w:pPr>
            <w:r>
              <w:rPr>
                <w:rFonts w:ascii="Calibri" w:cs="Calibri" w:eastAsia="Calibri" w:hAnsi="Calibri"/>
                <w:sz w:val="20"/>
                <w:szCs w:val="20"/>
              </w:rPr>
              <w:t xml:space="preserve">Established technical governance and release sequencing models that caught integration failures before they reached production.</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240"/>
            <w:tcBorders>
              <w:top w:val="none" w:color="FFFFFF" w:sz="0"/>
              <w:left w:val="single" w:color="1F4E79" w:sz="6" w:space="8"/>
              <w:bottom w:val="none" w:color="FFFFFF" w:sz="0"/>
              <w:right w:val="none" w:color="FFFFFF" w:sz="0"/>
            </w:tcBorders>
            <w:tcMar>
              <w:top w:type="dxa" w:w="40"/>
              <w:left w:type="dxa" w:w="200"/>
              <w:bottom w:type="dxa" w:w="40"/>
              <w:right w:type="dxa" w:w="80"/>
            </w:tcMar>
            <w:vAlign w:val="top"/>
          </w:tcPr>
          <w:p>
            <w:pPr>
              <w:pBdr>
                <w:bottom w:val="single" w:color="1F4E79" w:sz="6" w:space="1"/>
              </w:pBdr>
              <w:spacing w:after="60" w:before="160"/>
            </w:pPr>
            <w:r>
              <w:rPr>
                <w:rFonts w:ascii="Calibri" w:cs="Calibri" w:eastAsia="Calibri" w:hAnsi="Calibri"/>
                <w:b/>
                <w:bCs/>
                <w:color w:val="1F4E79"/>
                <w:spacing w:val="20"/>
                <w:sz w:val="20"/>
                <w:szCs w:val="20"/>
              </w:rPr>
              <w:t xml:space="preserve">TECHNOLOGIES</w:t>
            </w:r>
          </w:p>
          <w:p>
            <w:pPr>
              <w:spacing w:after="20" w:before="60"/>
            </w:pPr>
            <w:r>
              <w:rPr>
                <w:rFonts w:ascii="Calibri" w:cs="Calibri" w:eastAsia="Calibri" w:hAnsi="Calibri"/>
                <w:b/>
                <w:bCs/>
                <w:color w:val="1F4E79"/>
                <w:sz w:val="18"/>
                <w:szCs w:val="18"/>
              </w:rPr>
              <w:t xml:space="preserve">Platforms</w:t>
            </w:r>
          </w:p>
          <w:p>
            <w:pPr>
              <w:spacing w:after="80" w:before="0" w:line="240"/>
            </w:pPr>
            <w:r>
              <w:rPr>
                <w:rFonts w:ascii="Calibri" w:cs="Calibri" w:eastAsia="Calibri" w:hAnsi="Calibri"/>
                <w:sz w:val="18"/>
                <w:szCs w:val="18"/>
              </w:rPr>
              <w:t xml:space="preserve">Splunk Enterprise Security, Anvilogic, SIEM/SOAR, video streaming (HLS, DASH), ad tech (GAM, Freewheel, Conviva, Nielsen)</w:t>
            </w:r>
          </w:p>
          <w:p>
            <w:pPr>
              <w:spacing w:after="20" w:before="60"/>
            </w:pPr>
            <w:r>
              <w:rPr>
                <w:rFonts w:ascii="Calibri" w:cs="Calibri" w:eastAsia="Calibri" w:hAnsi="Calibri"/>
                <w:b/>
                <w:bCs/>
                <w:color w:val="1F4E79"/>
                <w:sz w:val="18"/>
                <w:szCs w:val="18"/>
              </w:rPr>
              <w:t xml:space="preserve">Engineering</w:t>
            </w:r>
          </w:p>
          <w:p>
            <w:pPr>
              <w:spacing w:after="80" w:before="0" w:line="240"/>
            </w:pPr>
            <w:r>
              <w:rPr>
                <w:rFonts w:ascii="Calibri" w:cs="Calibri" w:eastAsia="Calibri" w:hAnsi="Calibri"/>
                <w:sz w:val="18"/>
                <w:szCs w:val="18"/>
              </w:rPr>
              <w:t xml:space="preserve">Python, SQL, TypeScript, JavaScript, REST API design, Git, AWS</w:t>
            </w:r>
          </w:p>
          <w:p>
            <w:pPr>
              <w:spacing w:after="20" w:before="60"/>
            </w:pPr>
            <w:r>
              <w:rPr>
                <w:rFonts w:ascii="Calibri" w:cs="Calibri" w:eastAsia="Calibri" w:hAnsi="Calibri"/>
                <w:b/>
                <w:bCs/>
                <w:color w:val="1F4E79"/>
                <w:sz w:val="18"/>
                <w:szCs w:val="18"/>
              </w:rPr>
              <w:t xml:space="preserve">Observability</w:t>
            </w:r>
          </w:p>
          <w:p>
            <w:pPr>
              <w:spacing w:after="80" w:before="0" w:line="240"/>
            </w:pPr>
            <w:r>
              <w:rPr>
                <w:rFonts w:ascii="Calibri" w:cs="Calibri" w:eastAsia="Calibri" w:hAnsi="Calibri"/>
                <w:sz w:val="18"/>
                <w:szCs w:val="18"/>
              </w:rPr>
              <w:t xml:space="preserve">Grafana, New Relic, SignalFx, CloudWatch, container orchestration concepts (Kubernetes, Docker)</w:t>
            </w:r>
          </w:p>
          <w:p>
            <w:pPr>
              <w:spacing w:after="20" w:before="60"/>
            </w:pPr>
            <w:r>
              <w:rPr>
                <w:rFonts w:ascii="Calibri" w:cs="Calibri" w:eastAsia="Calibri" w:hAnsi="Calibri"/>
                <w:b/>
                <w:bCs/>
                <w:color w:val="1F4E79"/>
                <w:sz w:val="18"/>
                <w:szCs w:val="18"/>
              </w:rPr>
              <w:t xml:space="preserve">AI and Agents</w:t>
            </w:r>
          </w:p>
          <w:p>
            <w:pPr>
              <w:spacing w:after="80" w:before="0" w:line="240"/>
            </w:pPr>
            <w:r>
              <w:rPr>
                <w:rFonts w:ascii="Calibri" w:cs="Calibri" w:eastAsia="Calibri" w:hAnsi="Calibri"/>
                <w:sz w:val="18"/>
                <w:szCs w:val="18"/>
              </w:rPr>
              <w:t xml:space="preserve">Claude Code, MCP server development (public on GitHub), AgentOS design, RAG orchestration, LLM API integration, agent workflows (n8n)</w:t>
            </w:r>
          </w:p>
          <w:p>
            <w:pPr>
              <w:spacing w:after="20" w:before="60"/>
            </w:pPr>
            <w:r>
              <w:rPr>
                <w:rFonts w:ascii="Calibri" w:cs="Calibri" w:eastAsia="Calibri" w:hAnsi="Calibri"/>
                <w:b/>
                <w:bCs/>
                <w:color w:val="1F4E79"/>
                <w:sz w:val="18"/>
                <w:szCs w:val="18"/>
              </w:rPr>
              <w:t xml:space="preserve">Frameworks</w:t>
            </w:r>
          </w:p>
          <w:p>
            <w:pPr>
              <w:spacing w:after="80" w:before="0" w:line="240"/>
            </w:pPr>
            <w:r>
              <w:rPr>
                <w:rFonts w:ascii="Calibri" w:cs="Calibri" w:eastAsia="Calibri" w:hAnsi="Calibri"/>
                <w:sz w:val="18"/>
                <w:szCs w:val="18"/>
              </w:rPr>
              <w:t xml:space="preserve">OKR systems, SAFe/PI planning, Agile/Scrum, Jira, Confluence</w:t>
            </w:r>
          </w:p>
          <w:p>
            <w:pPr>
              <w:pBdr>
                <w:bottom w:val="single" w:color="1F4E79" w:sz="6" w:space="1"/>
              </w:pBdr>
              <w:spacing w:after="60" w:before="160"/>
            </w:pPr>
            <w:r>
              <w:rPr>
                <w:rFonts w:ascii="Calibri" w:cs="Calibri" w:eastAsia="Calibri" w:hAnsi="Calibri"/>
                <w:b/>
                <w:bCs/>
                <w:color w:val="1F4E79"/>
                <w:spacing w:val="20"/>
                <w:sz w:val="20"/>
                <w:szCs w:val="20"/>
              </w:rPr>
              <w:t xml:space="preserve">COMMUNITY &amp; WRITING</w:t>
            </w:r>
          </w:p>
          <w:p>
            <w:pPr>
              <w:spacing w:after="60" w:before="60" w:line="240"/>
            </w:pPr>
            <w:r>
              <w:rPr>
                <w:rFonts w:ascii="Calibri" w:cs="Calibri" w:eastAsia="Calibri" w:hAnsi="Calibri"/>
                <w:sz w:val="18"/>
                <w:szCs w:val="18"/>
              </w:rPr>
              <w:t xml:space="preserve">Author of </w:t>
            </w:r>
            <w:hyperlink w:history="1" r:id="rId18">
              <w:r>
                <w:rPr>
                  <w:rFonts w:ascii="Calibri" w:cs="Calibri" w:eastAsia="Calibri" w:hAnsi="Calibri"/>
                  <w:color w:val="0563C1"/>
                  <w:sz w:val="18"/>
                  <w:szCs w:val="18"/>
                  <w:u w:val="single"/>
                </w:rPr>
                <w:t xml:space="preserve">Signal HoriZon</w:t>
              </w:r>
            </w:hyperlink>
            <w:r>
              <w:rPr>
                <w:rFonts w:ascii="Calibri" w:cs="Calibri" w:eastAsia="Calibri" w:hAnsi="Calibri"/>
                <w:sz w:val="18"/>
                <w:szCs w:val="18"/>
              </w:rPr>
              <w:t xml:space="preserve">, 60+ essays on systems thinking, AI workflows and platform operations.</w:t>
            </w:r>
          </w:p>
          <w:p>
            <w:pPr>
              <w:spacing w:after="60" w:before="0" w:line="240"/>
            </w:pPr>
            <w:r>
              <w:rPr>
                <w:rFonts w:ascii="Calibri" w:cs="Calibri" w:eastAsia="Calibri" w:hAnsi="Calibri"/>
                <w:sz w:val="18"/>
                <w:szCs w:val="18"/>
              </w:rPr>
              <w:t xml:space="preserve">Built and ship </w:t>
            </w:r>
            <w:hyperlink w:history="1" r:id="rId19">
              <w:r>
                <w:rPr>
                  <w:rFonts w:ascii="Calibri" w:cs="Calibri" w:eastAsia="Calibri" w:hAnsi="Calibri"/>
                  <w:color w:val="0563C1"/>
                  <w:sz w:val="18"/>
                  <w:szCs w:val="18"/>
                  <w:u w:val="single"/>
                </w:rPr>
                <w:t xml:space="preserve">TechYeet Gaming</w:t>
              </w:r>
            </w:hyperlink>
            <w:r>
              <w:rPr>
                <w:rFonts w:ascii="Calibri" w:cs="Calibri" w:eastAsia="Calibri" w:hAnsi="Calibri"/>
                <w:sz w:val="18"/>
                <w:szCs w:val="18"/>
              </w:rPr>
              <w:t xml:space="preserve">, monthly newsletter for the tech and gaming community.</w:t>
            </w:r>
          </w:p>
          <w:p>
            <w:pPr>
              <w:pBdr>
                <w:bottom w:val="single" w:color="1F4E79" w:sz="6" w:space="1"/>
              </w:pBdr>
              <w:spacing w:after="60" w:before="160"/>
            </w:pPr>
            <w:r>
              <w:rPr>
                <w:rFonts w:ascii="Calibri" w:cs="Calibri" w:eastAsia="Calibri" w:hAnsi="Calibri"/>
                <w:b/>
                <w:bCs/>
                <w:color w:val="1F4E79"/>
                <w:spacing w:val="20"/>
                <w:sz w:val="20"/>
                <w:szCs w:val="20"/>
              </w:rPr>
              <w:t xml:space="preserve">EDUCATION</w:t>
            </w:r>
          </w:p>
          <w:p>
            <w:pPr>
              <w:spacing w:after="20" w:before="60"/>
            </w:pPr>
            <w:r>
              <w:rPr>
                <w:rFonts w:ascii="Calibri" w:cs="Calibri" w:eastAsia="Calibri" w:hAnsi="Calibri"/>
                <w:b/>
                <w:bCs/>
                <w:sz w:val="18"/>
                <w:szCs w:val="18"/>
              </w:rPr>
              <w:t xml:space="preserve">B.S. Computer Science</w:t>
            </w:r>
          </w:p>
          <w:p>
            <w:pPr>
              <w:spacing w:after="20" w:before="0" w:line="240"/>
            </w:pPr>
            <w:r>
              <w:rPr>
                <w:rFonts w:ascii="Calibri" w:cs="Calibri" w:eastAsia="Calibri" w:hAnsi="Calibri"/>
                <w:i/>
                <w:iCs/>
                <w:color w:val="595959"/>
                <w:sz w:val="18"/>
                <w:szCs w:val="18"/>
              </w:rPr>
              <w:t xml:space="preserve">Operations Management concentration</w:t>
            </w:r>
          </w:p>
          <w:p>
            <w:pPr>
              <w:spacing w:after="60" w:before="0" w:line="240"/>
            </w:pPr>
            <w:r>
              <w:rPr>
                <w:rFonts w:ascii="Calibri" w:cs="Calibri" w:eastAsia="Calibri" w:hAnsi="Calibri"/>
                <w:sz w:val="18"/>
                <w:szCs w:val="18"/>
              </w:rPr>
              <w:t xml:space="preserve">Clemson University</w:t>
            </w:r>
          </w:p>
        </w:tc>
      </w:tr>
    </w:tbl>
    <w:sectPr>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 Type="http://schemas.openxmlformats.org/officeDocument/2006/relationships/hyperlink" Target="https://www.linkedin.com/in/mcdonaldryank/" TargetMode="External"/><Relationship Id="rId15" Type="http://schemas.openxmlformats.org/officeDocument/2006/relationships/hyperlink" Target="https://github.com/ryemyster" TargetMode="External"/><Relationship Id="rId16" Type="http://schemas.openxmlformats.org/officeDocument/2006/relationships/hyperlink" Target="https://ryanmcdonaldus.substack.com/" TargetMode="External"/><Relationship Id="rId17" Type="http://schemas.openxmlformats.org/officeDocument/2006/relationships/hyperlink" Target="https://ryankmcdonald.netlify.app" TargetMode="External"/><Relationship Id="rId18" Type="http://schemas.openxmlformats.org/officeDocument/2006/relationships/hyperlink" Target="https://ryanmcdonaldus.substack.com/" TargetMode="External"/><Relationship Id="rId19" Type="http://schemas.openxmlformats.org/officeDocument/2006/relationships/hyperlink" Target="https://techyeet-gaming.netlify.app/" TargetMode="Externa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2026-05-12T19:57:44.829Z</dcterms:created>
  <dcterms:modified xsi:type="dcterms:W3CDTF">2026-05-12T19:57:44.842Z</dcterms:modified>
</cp:coreProperties>
</file>

<file path=docProps/custom.xml><?xml version="1.0" encoding="utf-8"?>
<Properties xmlns="http://schemas.openxmlformats.org/officeDocument/2006/custom-properties" xmlns:vt="http://schemas.openxmlformats.org/officeDocument/2006/docPropsVTypes"/>
</file>