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24B" w:rsidRDefault="0024124B" w:rsidP="0024124B">
      <w:pPr>
        <w:pStyle w:val="Articletitle"/>
        <w:rPr>
          <w:b w:val="0"/>
          <w:sz w:val="32"/>
          <w:szCs w:val="32"/>
        </w:rPr>
      </w:pPr>
      <w:r w:rsidRPr="00AD116F">
        <w:rPr>
          <w:sz w:val="32"/>
          <w:szCs w:val="32"/>
        </w:rPr>
        <w:t>A Predictive Model of Patient Readmission Using Combined ICD-9 Codes as Engineered Features</w:t>
      </w:r>
    </w:p>
    <w:p w:rsidR="0024124B" w:rsidRPr="00AD116F" w:rsidRDefault="0024124B" w:rsidP="0024124B"/>
    <w:p w:rsidR="001A6904" w:rsidRPr="001A6904" w:rsidRDefault="001A6904" w:rsidP="0024124B">
      <w:pPr>
        <w:pStyle w:val="Authornames"/>
        <w:rPr>
          <w:vertAlign w:val="superscript"/>
        </w:rPr>
      </w:pPr>
      <w:r>
        <w:t xml:space="preserve">Robert P. </w:t>
      </w:r>
      <w:proofErr w:type="spellStart"/>
      <w:r>
        <w:t>Yerex</w:t>
      </w:r>
      <w:proofErr w:type="spellEnd"/>
      <w:r>
        <w:t>, Ph.D</w:t>
      </w:r>
      <w:r>
        <w:rPr>
          <w:vertAlign w:val="superscript"/>
        </w:rPr>
        <w:t>1</w:t>
      </w:r>
      <w:r>
        <w:br/>
      </w:r>
      <w:r w:rsidRPr="001A6904">
        <w:t>Zachary Terner</w:t>
      </w:r>
      <w:r>
        <w:rPr>
          <w:vertAlign w:val="superscript"/>
        </w:rPr>
        <w:t>2</w:t>
      </w:r>
    </w:p>
    <w:p w:rsidR="0024124B" w:rsidRPr="001A6904" w:rsidRDefault="001A6904" w:rsidP="001A6904">
      <w:pPr>
        <w:pStyle w:val="Affiliation"/>
        <w:rPr>
          <w:vertAlign w:val="superscript"/>
        </w:rPr>
      </w:pPr>
      <w:r w:rsidRPr="008E2EF5">
        <w:t>UVA Medical Center Accountable Care Organization</w:t>
      </w:r>
      <w:r>
        <w:rPr>
          <w:vertAlign w:val="superscript"/>
        </w:rPr>
        <w:t>1</w:t>
      </w:r>
      <w:r>
        <w:br/>
      </w:r>
      <w:r w:rsidRPr="001A6904">
        <w:t>Universi</w:t>
      </w:r>
      <w:r>
        <w:t>ty of California, Santa Barbara</w:t>
      </w:r>
      <w:r>
        <w:rPr>
          <w:vertAlign w:val="superscript"/>
        </w:rPr>
        <w:t>2</w:t>
      </w:r>
    </w:p>
    <w:p w:rsidR="0024124B" w:rsidRDefault="0024124B" w:rsidP="00FB28B4">
      <w:pPr>
        <w:pStyle w:val="Heading1"/>
      </w:pPr>
    </w:p>
    <w:p w:rsidR="0024124B" w:rsidRPr="00FB28B4" w:rsidRDefault="0024124B" w:rsidP="00FB28B4">
      <w:pPr>
        <w:pStyle w:val="Heading1"/>
      </w:pPr>
      <w:r w:rsidRPr="00FB28B4">
        <w:t>Abstract</w:t>
      </w:r>
    </w:p>
    <w:p w:rsidR="0024124B" w:rsidRPr="00FB28B4" w:rsidRDefault="0024124B" w:rsidP="00FB28B4">
      <w:pPr>
        <w:pStyle w:val="Paragraph"/>
      </w:pPr>
      <w:r w:rsidRPr="00FB28B4">
        <w:t xml:space="preserve">The timing of post-discharge care is a significant factor in reducing unplanned hospital readmission. Statistical learning techniques can be applied to the development of models that predict the likelihood of patient readmission during the critical 30 day post-discharge period. The accuracy of these models is dependent on the quantity and quality of data used for training and validation. For Medicare and Medicaid patients who are members of an Accountable Care Organization (ACO), the Centers for Medicare and Medicaid (CMS) provides detailed claims based data that can be used, if appropriately collated, and transformed. This involves the identification and creation of useful features, which when included in the model, increases its predictive strength. Creation of derived features (feature engineering) is a process in which a large number of base dimensions (n) are combined to create a smaller features </w:t>
      </w:r>
      <w:r w:rsidR="00777368" w:rsidRPr="00FB28B4">
        <w:t>set</w:t>
      </w:r>
      <w:r w:rsidRPr="00FB28B4">
        <w:object w:dxaOrig="5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pt;height:13.8pt" o:ole="">
            <v:imagedata r:id="rId8" o:title=""/>
          </v:shape>
          <o:OLEObject Type="Embed" ProgID="Equation.DSMT4" ShapeID="_x0000_i1025" DrawAspect="Content" ObjectID="_1518243550" r:id="rId9"/>
        </w:object>
      </w:r>
      <w:r w:rsidR="00777368" w:rsidRPr="00FB28B4">
        <w:t>, reducing</w:t>
      </w:r>
      <w:r w:rsidRPr="00FB28B4">
        <w:t xml:space="preserve"> the complexity of the model while retaining its inherent information value. The inpatient admission diagnoses, in the form of ICD-9 codes, are an example of high dimensionality attributes found in the CMS claims data. Patterns inherent in the combinations of these codes can be used to create an engineered feature. In this study, a taxonomy of patterns of patient diagnoses was developed that was then used as a feature within a random survival forest model that predicts the hazard function (where the hazard event is unplanned readmission) of an individual patient for the first 30 days post discharge. Over the ensuing 30 days after release from hospital, a patient’s likelihood of readmission can be dynamically estimated based on the remaining portion of the hazard curve. Inclusion of the multiple diagnoses feature increased model accuracy to the point where it could be effectively used as a tool for targeting post-discharge patient care.</w:t>
      </w:r>
    </w:p>
    <w:p w:rsidR="002727BE" w:rsidRDefault="002727BE" w:rsidP="00FB28B4">
      <w:pPr>
        <w:pStyle w:val="Heading1"/>
      </w:pPr>
      <w:r>
        <w:t>Introduction</w:t>
      </w:r>
    </w:p>
    <w:p w:rsidR="00AD1819" w:rsidRDefault="002727BE" w:rsidP="00FB28B4">
      <w:pPr>
        <w:pStyle w:val="Paragraph"/>
      </w:pPr>
      <w:r>
        <w:t xml:space="preserve">Reducing 30-day readmissions has become a national priority for medical personnel and government agencies. Jencks, Williams, and Coleman estimate that the cost to Medicare in 2004 of unplanned hospital readmission was $17.4 billion </w:t>
      </w:r>
      <w:r>
        <w:fldChar w:fldCharType="begin"/>
      </w:r>
      <w:r w:rsidR="00B86B7A">
        <w:instrText xml:space="preserve"> ADDIN ZOTERO_ITEM CSL_CITATION {"citationID":"2j86pfiv4","properties":{"formattedCitation":"[1]","plainCitation":"[1]"},"citationItems":[{"id":107,"uris":["http://zotero.org/users/1980127/items/BJIGPQ66"],"uri":["http://zotero.org/users/1980127/items/BJIGPQ66"],"itemData":{"id":107,"type":"article-journal","title":"Rehospitalizations among Patients in the Medicare Fee-for-Service Program","container-title":"New England Journal of Medicine","page":"1418-1428","volume":"360","issue":"14","source":"CrossRef","DOI":"10.1056/NEJMsa0803563","ISSN":"0028-4793, 1533-4406","language":"en","author":[{"family":"Jencks","given":"Stephen F."},{"family":"Williams","given":"Mark V."},{"family":"Coleman","given":"Eric A."}],"issued":{"date-parts":[["2009",4,2]]}}}],"schema":"https://github.com/citation-style-language/schema/raw/master/csl-citation.json"} </w:instrText>
      </w:r>
      <w:r>
        <w:fldChar w:fldCharType="separate"/>
      </w:r>
      <w:r w:rsidRPr="002727BE">
        <w:t>[1]</w:t>
      </w:r>
      <w:r>
        <w:fldChar w:fldCharType="end"/>
      </w:r>
      <w:r>
        <w:t>. Thus, there have been numerous e</w:t>
      </w:r>
      <w:r w:rsidR="00ED73C7">
        <w:t>ff</w:t>
      </w:r>
      <w:r>
        <w:t>orts to reduce readmissions, including a</w:t>
      </w:r>
      <w:r w:rsidR="00ED73C7">
        <w:t xml:space="preserve"> </w:t>
      </w:r>
      <w:r>
        <w:t>penalty and incentive program implemented by Centers for Medicare and Medicaid</w:t>
      </w:r>
      <w:r w:rsidR="00ED73C7">
        <w:t xml:space="preserve"> </w:t>
      </w:r>
      <w:r>
        <w:t>Services, or CMS</w:t>
      </w:r>
      <w:r w:rsidR="0096029C">
        <w:t xml:space="preserve"> </w:t>
      </w:r>
      <w:r w:rsidR="0096029C" w:rsidRPr="0096029C">
        <w:t>[2]</w:t>
      </w:r>
      <w:r>
        <w:t xml:space="preserve">. </w:t>
      </w:r>
      <w:proofErr w:type="spellStart"/>
      <w:r>
        <w:t>Krumholz</w:t>
      </w:r>
      <w:proofErr w:type="spellEnd"/>
      <w:r>
        <w:t xml:space="preserve"> et al. examine hospital performance, as</w:t>
      </w:r>
      <w:r w:rsidR="00A87383">
        <w:t xml:space="preserve"> </w:t>
      </w:r>
      <w:r>
        <w:t>measured by 30-day readmission and mortality rates, for patients with a primary</w:t>
      </w:r>
      <w:r w:rsidR="00A87383">
        <w:t xml:space="preserve"> </w:t>
      </w:r>
      <w:r>
        <w:t>diagnosis of acute myocardial infarction (AMI) or heart failure (HF) in</w:t>
      </w:r>
      <w:r w:rsidR="00A87383">
        <w:t xml:space="preserve"> </w:t>
      </w:r>
      <w:r>
        <w:t>di</w:t>
      </w:r>
      <w:r w:rsidR="00A87383">
        <w:t>ff</w:t>
      </w:r>
      <w:r>
        <w:t>erent parts of the country. The study concluded that 30-day rates di</w:t>
      </w:r>
      <w:r w:rsidR="00A87383">
        <w:t>ff</w:t>
      </w:r>
      <w:r>
        <w:t>ered</w:t>
      </w:r>
      <w:r w:rsidR="00A87383">
        <w:t xml:space="preserve"> </w:t>
      </w:r>
      <w:r>
        <w:t>among hospitals in di</w:t>
      </w:r>
      <w:r w:rsidR="00A87383">
        <w:t>ff</w:t>
      </w:r>
      <w:r>
        <w:t>erent parts of the country, and that readmission rates in</w:t>
      </w:r>
      <w:r w:rsidR="00A87383">
        <w:t xml:space="preserve"> </w:t>
      </w:r>
      <w:r>
        <w:t xml:space="preserve">particular present a good opportunity for improvement </w:t>
      </w:r>
      <w:r w:rsidR="00A87383">
        <w:fldChar w:fldCharType="begin"/>
      </w:r>
      <w:r w:rsidR="00B86B7A">
        <w:instrText xml:space="preserve"> ADDIN ZOTERO_ITEM CSL_CITATION {"citationID":"ohs0pdhl0","properties":{"unsorted":true,"formattedCitation":"[2]","plainCitation":"[2]"},"citationItems":[{"id":900,"uris":["http://zotero.org/users/1980127/items/8H38PF2M"],"uri":["http://zotero.org/users/1980127/items/8H38PF2M"],"itemData":{"id":900,"type":"article-journal","title":"Patterns of Hospital Performance in Acute Myocardial Infarction and Heart Failure 30-Day Mortality and Readmission","container-title":"Circulation: Cardiovascular Quality and Outcomes","page":"407-413","volume":"2","issue":"5","source":"CrossRef","DOI":"10.1161/CIRCOUTCOMES.109.883256","ISSN":"1941-7705, 1941-7713","language":"en","author":[{"family":"Krumholz","given":"H. M."},{"family":"Merrill","given":"A. R."},{"family":"Schone","given":"E. M."},{"family":"Schreiner","given":"G. C."},{"family":"Chen","given":"J."},{"family":"Bradley","given":"E. H."},{"family":"Wang","given":"Y."},{"family":"Wang","given":"Y."},{"family":"Lin","given":"Z."},{"family":"Straube","given":"B. M."},{"family":"Rapp","given":"M. T."},{"family":"Normand","given":"S.-L. T."},{"family":"Drye","given":"E. E."}],"issued":{"date-parts":[["2009",9,1]]}}}],"schema":"https://github.com/citation-style-language/schema/raw/master/csl-citation.json"} </w:instrText>
      </w:r>
      <w:r w:rsidR="00A87383">
        <w:fldChar w:fldCharType="separate"/>
      </w:r>
      <w:r w:rsidR="00A87383" w:rsidRPr="00A87383">
        <w:t>[2]</w:t>
      </w:r>
      <w:r w:rsidR="00A87383">
        <w:fldChar w:fldCharType="end"/>
      </w:r>
      <w:r w:rsidR="00A87383">
        <w:t xml:space="preserve">. </w:t>
      </w:r>
      <w:r>
        <w:t>Addressing this need, numerous studies have been conducted to develop predictive</w:t>
      </w:r>
      <w:r w:rsidR="00A87383">
        <w:t xml:space="preserve"> </w:t>
      </w:r>
      <w:r>
        <w:t>models that identify discharged patients at high risk of readmission. In</w:t>
      </w:r>
      <w:r w:rsidR="00A87383">
        <w:t xml:space="preserve"> </w:t>
      </w:r>
      <w:r>
        <w:t>a comprehensive review of 30 studies which developed predictive models for</w:t>
      </w:r>
      <w:r w:rsidR="00A87383">
        <w:t xml:space="preserve"> </w:t>
      </w:r>
      <w:r>
        <w:t xml:space="preserve">hospital readmission, </w:t>
      </w:r>
      <w:proofErr w:type="spellStart"/>
      <w:r>
        <w:t>Kansagara</w:t>
      </w:r>
      <w:proofErr w:type="spellEnd"/>
      <w:r>
        <w:t xml:space="preserve"> et al. conclude that most readmission risk prediction</w:t>
      </w:r>
      <w:r w:rsidR="00AD1819">
        <w:t xml:space="preserve"> </w:t>
      </w:r>
      <w:r>
        <w:t>models perform poorly, corrobo</w:t>
      </w:r>
      <w:r w:rsidR="00AD1819">
        <w:t xml:space="preserve">rating the need for improvement </w:t>
      </w:r>
      <w:r w:rsidR="00AD1819">
        <w:fldChar w:fldCharType="begin"/>
      </w:r>
      <w:r w:rsidR="00B86B7A">
        <w:instrText xml:space="preserve"> ADDIN ZOTERO_ITEM CSL_CITATION {"citationID":"5rc6laorj","properties":{"formattedCitation":"[3]","plainCitation":"[3]"},"citationItems":[{"id":709,"uris":["http://zotero.org/users/1980127/items/BQBRW5KP"],"uri":["http://zotero.org/users/1980127/items/BQBRW5KP"],"itemData":{"id":709,"type":"book","title":"Risk Prediction Models for Hospital Readmission: A Systematic Review","collection-title":"VA Evidence-based Synthesis Program Reports","publisher":"Department of Veterans Affairs (US)","publisher-place":"Washington (DC)","source":"NCBI PubMed","event-place":"Washington (DC)","abstract":"An increasing body of literature attempts to describe and validate hospital readmission risk prediction tools. Interest in such models has grown for two reasons. First, transitional care interventions may reduce readmissions among chronically ill adults. Readmission risk assessment could be used to help target the delivery of these resource-intensive interventions to the patients at greatest risk. Ideally, models designed for this purpose would provide clinically relevant stratification of readmission risk and give information early enough during the hospitalization to trigger a transitional care intervention, many of which involve discharge planning and begin well before hospital discharge. Second, there is interest in using readmission rates as a quality metric. Recently, the Centers for Medicare &amp; Medicaid Services (CMS) began using readmission rate as a publicly reported metric, with plans to lower reimbursement to hospitals with excess risk-standardized readmission rates. Valid risk adjustment methods are required for calculation of risk-standardized readmission rates which could, in turn, be used for hospital comparison, public reporting, and reimbursement determinations. Models designed for these purposes should have good predictive ability; be deployable in large populations; use reliable data that can be easily obtained; and use variables that are clinically related to, and validated in, the populations in which use is intended. This systematic review was performed to synthesize the available literature on validated readmission risk prediction models, describe their performance, and assess their suitability for clinical or administrative use.","URL":"http://www.ncbi.nlm.nih.gov/books/NBK82578/","call-number":"NBK82578","note":"PMID: 22206113","shortTitle":"Risk Prediction Models for Hospital Readmission","language":"eng","author":[{"family":"Kansagara","given":"Devan"},{"family":"Englander","given":"Honora"},{"family":"Salanitro","given":"Amanda"},{"family":"Kagen","given":"David"},{"family":"Theobald","given":"Cecelia"},{"family":"Freeman","given":"Michele"},{"family":"Kripalani","given":"Sunil"}],"issued":{"date-parts":[["2011"]]},"accessed":{"date-parts":[["2014",9,3]]},"PMID":"22206113"}}],"schema":"https://github.com/citation-style-language/schema/raw/master/csl-citation.json"} </w:instrText>
      </w:r>
      <w:r w:rsidR="00AD1819">
        <w:fldChar w:fldCharType="separate"/>
      </w:r>
      <w:r w:rsidR="00AD1819" w:rsidRPr="00AD1819">
        <w:t>[3]</w:t>
      </w:r>
      <w:r w:rsidR="00AD1819">
        <w:fldChar w:fldCharType="end"/>
      </w:r>
      <w:r>
        <w:t>.</w:t>
      </w:r>
      <w:r w:rsidR="00AD1819">
        <w:t xml:space="preserve"> </w:t>
      </w:r>
      <w:r>
        <w:t xml:space="preserve">Considering 30-day readmission rates for general surgery patients, </w:t>
      </w:r>
      <w:proofErr w:type="spellStart"/>
      <w:r>
        <w:t>Kassin</w:t>
      </w:r>
      <w:proofErr w:type="spellEnd"/>
      <w:r>
        <w:t xml:space="preserve"> et</w:t>
      </w:r>
      <w:r w:rsidR="00AD1819">
        <w:t xml:space="preserve"> al find </w:t>
      </w:r>
      <w:r>
        <w:t xml:space="preserve">that postoperative complications appear to drive surgical readmissions </w:t>
      </w:r>
      <w:r w:rsidR="00AD1819">
        <w:fldChar w:fldCharType="begin"/>
      </w:r>
      <w:r w:rsidR="00B86B7A">
        <w:instrText xml:space="preserve"> ADDIN ZOTERO_ITEM CSL_CITATION {"citationID":"1jhva1d2le","properties":{"formattedCitation":"[4]","plainCitation":"[4]"},"citationItems":[{"id":943,"uris":["http://zotero.org/users/1980127/items/STH8F4JH"],"uri":["http://zotero.org/users/1980127/items/STH8F4JH"],"itemData":{"id":943,"type":"article-journal","title":"Risk Factors for 30-Day Hospital Readmission among General Surgery Patients","container-title":"Journal of the American College of Surgeons","page":"322-330","volume":"215","issue":"3","source":"PubMed Central","abstract":"Background\nHospital readmission within 30-days of an index hospitalization is receiving increased scrutiny as a marker of poor quality patient care. This study identifies factors associated with 30-day readmission following General Surgery procedures.\n\nStudy Design\nUsing standard National Surgical Quality Improvement Project (NSQIP) protocol, preoperative, intraoperative, and postoperative outcomes were collected on patients undergoing inpatient General Surgery procedures at a single academic center between 2009 and 2011. Data were merged with our institutional clinical data warehouse to identify unplanned 30-day readmissions. Demographics, comorbidities, type of procedure, postoperative complications, and ICD-9 coding data were reviewed for patients who were readmitted. Univariate and multivariate analysis was utilized to identify risk factors associated with 30-day readmission.\n\nResults\n1442 General Surgery patients were reviewed. 163 (11.3%) were readmitted within 30 days of discharge. The most common reasons for readmission were gastrointestinal complaint/complication (27.6%), surgical infection (22.1%), and failure to thrive/malnutrition (10.4%). Comorbidities associated with risk of readmission included disseminated cancer, dyspnea, and preoperative open wound (p&lt;0.05 for all variables). Surgical procedures associated with higher rates of readmission included pancreatectomy, colectomy, and liver resection. Postoperative occurrences leading to increased risk of readmission were blood transfusion, postoperative pulmonary complication, wound complication, sepsis/shock, urinary tract infection, and vascular complications. Multivariable analysis demonstrates that the most significant independent risk factor for readmission is the occurrence of any postoperative complication (OR 4.20, 95% CI 2.89–6.13).\n\nConclusions\nRisk factors for readmission after General Surgery procedures are multi-factorial; however, postoperative complications appear to drive readmissions in surgical patients. Taking appropriate steps to minimize postoperative complications will decrease postoperative readmissions.","DOI":"10.1016/j.jamcollsurg.2012.05.024","ISSN":"1072-7515","note":"PMID: 22726893\nPMCID: PMC3423490","journalAbbreviation":"J Am Coll Surg","author":[{"family":"Kassin","given":"Michael T"},{"family":"Owen","given":"Rachel M"},{"family":"Perez","given":"Sebastian"},{"family":"Leeds","given":"Ira"},{"family":"Cox","given":"James C"},{"family":"Schnier","given":"Kurt"},{"family":"Sadiraj","given":"Vjollca"},{"family":"Sweeney","given":"John F"}],"issued":{"date-parts":[["2012",9]]},"PMID":"22726893","PMCID":"PMC3423490"}}],"schema":"https://github.com/citation-style-language/schema/raw/master/csl-citation.json"} </w:instrText>
      </w:r>
      <w:r w:rsidR="00AD1819">
        <w:fldChar w:fldCharType="separate"/>
      </w:r>
      <w:r w:rsidR="00AD1819" w:rsidRPr="00AD1819">
        <w:t>[4]</w:t>
      </w:r>
      <w:r w:rsidR="00AD1819">
        <w:fldChar w:fldCharType="end"/>
      </w:r>
      <w:r>
        <w:t>.</w:t>
      </w:r>
      <w:r w:rsidR="00AD1819">
        <w:t xml:space="preserve"> </w:t>
      </w:r>
      <w:r>
        <w:t xml:space="preserve">In a broader study on heart failure patients, </w:t>
      </w:r>
      <w:proofErr w:type="spellStart"/>
      <w:r>
        <w:t>Amarsingham</w:t>
      </w:r>
      <w:proofErr w:type="spellEnd"/>
      <w:r>
        <w:t xml:space="preserve"> et al. use a variety</w:t>
      </w:r>
      <w:r w:rsidR="00AD1819">
        <w:t xml:space="preserve"> </w:t>
      </w:r>
      <w:r>
        <w:t>of predictors, such as measures of social instability and socioeconomic status, as</w:t>
      </w:r>
      <w:r w:rsidR="00AD1819">
        <w:t xml:space="preserve"> </w:t>
      </w:r>
      <w:r>
        <w:t>well as EMR data and data available upon admission, to predict readmissions</w:t>
      </w:r>
      <w:r w:rsidR="00AD1819">
        <w:t xml:space="preserve"> </w:t>
      </w:r>
      <w:r w:rsidR="00AD1819">
        <w:fldChar w:fldCharType="begin"/>
      </w:r>
      <w:r w:rsidR="00B86B7A">
        <w:instrText xml:space="preserve"> ADDIN ZOTERO_ITEM CSL_CITATION {"citationID":"1s4lrr4h91","properties":{"formattedCitation":"[5]","plainCitation":"[5]"},"citationItems":[{"id":1007,"uris":["http://zotero.org/users/1980127/items/QKPSWMSG"],"uri":["http://zotero.org/users/1980127/items/QKPSWMSG"],"itemData":{"id":1007,"type":"article-journal","title":"An automated model to identify heart failure patients at risk for 30-day readmission or death using electronic medical record data.","container-title":"Medical care","page":"981-8","volume":"48","issue":"11","DOI":"10.1097/MLR.0b013e3181ef60d9","ISSN":"1537-1948","author":[{"family":"Ruben Amarasingham","given":"Billy J. Moore"}],"issued":{"date-parts":[["2010"]]}}}],"schema":"https://github.com/citation-style-language/schema/raw/master/csl-citation.json"} </w:instrText>
      </w:r>
      <w:r w:rsidR="00AD1819">
        <w:fldChar w:fldCharType="separate"/>
      </w:r>
      <w:r w:rsidR="00AD1819" w:rsidRPr="00AD1819">
        <w:t>[5]</w:t>
      </w:r>
      <w:r w:rsidR="00AD1819">
        <w:fldChar w:fldCharType="end"/>
      </w:r>
      <w:r>
        <w:t>. Additional studies into readmission targeted Veterans A</w:t>
      </w:r>
      <w:r w:rsidR="00AD1819">
        <w:t>ff</w:t>
      </w:r>
      <w:r>
        <w:t>airs (VA) hospitals</w:t>
      </w:r>
      <w:r w:rsidR="00AD1819">
        <w:t xml:space="preserve"> </w:t>
      </w:r>
      <w:r>
        <w:t>speci</w:t>
      </w:r>
      <w:r w:rsidR="00AD1819">
        <w:t>fi</w:t>
      </w:r>
      <w:r>
        <w:t xml:space="preserve">cally: </w:t>
      </w:r>
      <w:proofErr w:type="spellStart"/>
      <w:r>
        <w:t>Kaboli</w:t>
      </w:r>
      <w:proofErr w:type="spellEnd"/>
      <w:r>
        <w:t xml:space="preserve"> et al. investigate associations between reducing length</w:t>
      </w:r>
      <w:r w:rsidR="00AD1819">
        <w:t xml:space="preserve"> </w:t>
      </w:r>
      <w:r>
        <w:t>of stay for VA patients under the concern that a shorter stay would lead to increased</w:t>
      </w:r>
      <w:r w:rsidR="00AD1819">
        <w:t xml:space="preserve"> </w:t>
      </w:r>
      <w:r>
        <w:t xml:space="preserve">readmissions </w:t>
      </w:r>
      <w:r w:rsidR="00AD1819">
        <w:fldChar w:fldCharType="begin"/>
      </w:r>
      <w:r w:rsidR="00B86B7A">
        <w:instrText xml:space="preserve"> ADDIN ZOTERO_ITEM CSL_CITATION {"citationID":"4vcdoh847","properties":{"formattedCitation":"[6]","plainCitation":"[6]"},"citationItems":[{"id":705,"uris":["http://zotero.org/users/1980127/items/MX3RP3HN"],"uri":["http://zotero.org/users/1980127/items/MX3RP3HN"],"itemData":{"id":705,"type":"article-journal","title":"Associations Between Reduced Hospital Length of Stay and 30-Day Readmission Rate and Mortality: 14-Year Experience in 129 Veterans Affairs Hospitals","container-title":"Annals of Internal Medicine","page":"837","volume":"157","issue":"12","source":"CrossRef","DOI":"10.7326/0003-4819-157-12-201212180-00003","ISSN":"0003-4819","shortTitle":"Associations Between Reduced Hospital Length of Stay and 30-Day Readmission Rate and Mortality","language":"en","author":[{"family":"Kaboli","given":"Peter J."},{"family":"Go","given":"Jorge T."},{"family":"Hockenberry","given":"Jason"},{"family":"Glasgow","given":"Justin M."},{"family":"Johnson","given":"Skyler R."},{"family":"Rosenthal","given":"Gary E."},{"family":"Jones","given":"Michael P."},{"family":"Vaughan-Sarrazin","given":"Mary"}],"issued":{"date-parts":[["2012",12,18]]}}}],"schema":"https://github.com/citation-style-language/schema/raw/master/csl-citation.json"} </w:instrText>
      </w:r>
      <w:r w:rsidR="00AD1819">
        <w:fldChar w:fldCharType="separate"/>
      </w:r>
      <w:r w:rsidR="00AD1819" w:rsidRPr="00AD1819">
        <w:t>[6]</w:t>
      </w:r>
      <w:r w:rsidR="00AD1819">
        <w:fldChar w:fldCharType="end"/>
      </w:r>
      <w:r>
        <w:t>; Glasgow, Vaughn-</w:t>
      </w:r>
      <w:proofErr w:type="spellStart"/>
      <w:r>
        <w:t>Sarrazin</w:t>
      </w:r>
      <w:proofErr w:type="spellEnd"/>
      <w:r>
        <w:t xml:space="preserve">, and </w:t>
      </w:r>
      <w:proofErr w:type="spellStart"/>
      <w:r>
        <w:t>Kaboli</w:t>
      </w:r>
      <w:proofErr w:type="spellEnd"/>
      <w:r>
        <w:t xml:space="preserve"> focus on VA</w:t>
      </w:r>
      <w:r w:rsidR="00AD1819">
        <w:t xml:space="preserve"> </w:t>
      </w:r>
      <w:r>
        <w:lastRenderedPageBreak/>
        <w:t xml:space="preserve">patients who left against medical advice (AMA), </w:t>
      </w:r>
      <w:r w:rsidR="00AD1819">
        <w:t>find</w:t>
      </w:r>
      <w:r>
        <w:t>ing that AMA patients had</w:t>
      </w:r>
      <w:r w:rsidR="00AD1819">
        <w:t xml:space="preserve"> </w:t>
      </w:r>
      <w:r>
        <w:t>higher 30-day mortality and readmission rates than other discharged patients</w:t>
      </w:r>
      <w:r w:rsidR="00AD1819">
        <w:t xml:space="preserve"> </w:t>
      </w:r>
      <w:r w:rsidR="00AD1819">
        <w:fldChar w:fldCharType="begin"/>
      </w:r>
      <w:r w:rsidR="00B86B7A">
        <w:instrText xml:space="preserve"> ADDIN ZOTERO_ITEM CSL_CITATION {"citationID":"chd01jb12","properties":{"formattedCitation":"[7]","plainCitation":"[7]"},"citationItems":[{"id":659,"uris":["http://zotero.org/users/1980127/items/EPA66R2M"],"uri":["http://zotero.org/users/1980127/items/EPA66R2M"],"itemData":{"id":659,"type":"article-journal","title":"Leaving Against Medical Advice (AMA): Risk of 30-Day Mortality and Hospital Readmission","container-title":"Journal of General Internal Medicine","page":"926-929","volume":"25","issue":"9","source":"CrossRef","DOI":"10.1007/s11606-010-1371-4","ISSN":"0884-8734, 1525-1497","shortTitle":"Leaving Against Medical Advice (AMA)","language":"en","author":[{"family":"Glasgow","given":"Justin M."},{"family":"Vaughn-Sarrazin","given":"Mary"},{"family":"Kaboli","given":"Peter J."}],"issued":{"date-parts":[["2010",9]]}}}],"schema":"https://github.com/citation-style-language/schema/raw/master/csl-citation.json"} </w:instrText>
      </w:r>
      <w:r w:rsidR="00AD1819">
        <w:fldChar w:fldCharType="separate"/>
      </w:r>
      <w:r w:rsidR="00AD1819" w:rsidRPr="00AD1819">
        <w:t>[7]</w:t>
      </w:r>
      <w:r w:rsidR="00AD1819">
        <w:fldChar w:fldCharType="end"/>
      </w:r>
      <w:r>
        <w:t>.</w:t>
      </w:r>
    </w:p>
    <w:p w:rsidR="005B0B34" w:rsidRDefault="002727BE" w:rsidP="00FB28B4">
      <w:pPr>
        <w:pStyle w:val="Paragraph"/>
      </w:pPr>
      <w:r>
        <w:t>To identify discharged patients at high risk of readmission, several studies</w:t>
      </w:r>
      <w:r w:rsidR="00AD1819">
        <w:t xml:space="preserve"> </w:t>
      </w:r>
      <w:r>
        <w:t xml:space="preserve">have developed risk indices. Most </w:t>
      </w:r>
      <w:r w:rsidR="00AD1819">
        <w:t>n</w:t>
      </w:r>
      <w:r>
        <w:t xml:space="preserve">otably, van </w:t>
      </w:r>
      <w:proofErr w:type="spellStart"/>
      <w:r>
        <w:t>Walvaren</w:t>
      </w:r>
      <w:proofErr w:type="spellEnd"/>
      <w:r>
        <w:t xml:space="preserve"> et al. develop the</w:t>
      </w:r>
      <w:r w:rsidR="00AD1819">
        <w:t xml:space="preserve"> </w:t>
      </w:r>
      <w:r>
        <w:t>LACE index, which uses length of stay (L), acuity of admission (A), comorbidities</w:t>
      </w:r>
      <w:r w:rsidR="00AD1819">
        <w:t xml:space="preserve"> </w:t>
      </w:r>
      <w:r>
        <w:t xml:space="preserve">as calculated via </w:t>
      </w:r>
      <w:proofErr w:type="spellStart"/>
      <w:r>
        <w:t>Charlson</w:t>
      </w:r>
      <w:proofErr w:type="spellEnd"/>
      <w:r>
        <w:t xml:space="preserve"> score (C), and the number of ED visits in the</w:t>
      </w:r>
      <w:r w:rsidR="00AD1819">
        <w:t xml:space="preserve"> </w:t>
      </w:r>
      <w:r>
        <w:t>previous six months (E) to quantify odds of readmission</w:t>
      </w:r>
      <w:r w:rsidR="00AD1819">
        <w:t xml:space="preserve"> </w:t>
      </w:r>
      <w:r w:rsidR="00AD1819">
        <w:fldChar w:fldCharType="begin"/>
      </w:r>
      <w:r w:rsidR="00B86B7A">
        <w:instrText xml:space="preserve"> ADDIN ZOTERO_ITEM CSL_CITATION {"citationID":"15ig8fnhv3","properties":{"formattedCitation":"[8]","plainCitation":"[8]"},"citationItems":[{"id":1022,"uris":["http://zotero.org/users/1980127/items/VKR94TTK"],"uri":["http://zotero.org/users/1980127/items/VKR94TTK"],"itemData":{"id":1022,"type":"article-journal","title":"Derivation and validation of an index to predict early death or unplanned readmission after discharge from hospital to the community","container-title":"Canadian Medical Association Journal","page":"551-557","volume":"182","issue":"6","source":"www.cmaj.ca","abstract":"Background: Readmissions to hospital are common, costly and often preventable. An easy-to-use index to quantify the risk of readmission or death after discharge from hospital would help clinicians identify patients who might benefit from more intensive post-discharge care. We sought to derive and validate an index to predict the risk of death or unplanned readmission within 30 days after discharge from hospital to the community.\nMethods: In a prospective cohort study, 48 patient-level and admission-level variables were collected for 4812 medical and surgical patients who were discharged to the community from 11 hospitals in Ontario. We used a split-sample design to derive and validate an index to predict the risk of death or nonelective readmission within 30 days after discharge. This index was externally validated using administrative data in a random selection of 1 000 000 Ontarians discharged from hospital between 2004 and 2008.\nResults: Of the 4812 participating patients, 385 (8.0%) died or were readmitted on an unplanned basis within 30 days after discharge. Variables independently associated with this outcome (from which we derived the nmemonic “LACE”) included length of stay (“L”); acuity of the admission (“A”); comorbidity of the patient (measured with the Charlson comorbidity index score) (“C”); and emergency department use (measured as the number of visits in the six months before admission) (“E”). Scores using the LACE index ranged from 0 (2.0% expected risk of death or urgent readmission within 30 days) to 19 (43.7% expected risk). The LACE index was discriminative (C statistic 0.684) and very accurate (Hosmer–Lemeshow goodness-of-fit statistic 14.1, p = 0.59) at predicting outcome risk.\nInterpretation: The LACE index can be used to quantify risk of death or unplanned readmission within 30 days after discharge from hospital. This index can be used with both primary and administrative data. Further research is required to determine whether such quantification changes patient care or outcomes.","DOI":"10.1503/cmaj.091117","ISSN":"0820-3946, 1488-2329","note":"PMID: 20194559","journalAbbreviation":"CMAJ","language":"en","author":[{"family":"Walraven","given":"Carl","dropping-particle":"van"},{"family":"Dhalla","given":"Irfan A."},{"family":"Bell","given":"Chaim"},{"family":"Etchells","given":"Edward"},{"family":"Stiell","given":"Ian G."},{"family":"Zarnke","given":"Kelly"},{"family":"Austin","given":"Peter C."},{"family":"Forster","given":"Alan J."}],"issued":{"date-parts":[["2010",4,6]]},"PMID":"20194559"}}],"schema":"https://github.com/citation-style-language/schema/raw/master/csl-citation.json"} </w:instrText>
      </w:r>
      <w:r w:rsidR="00AD1819">
        <w:fldChar w:fldCharType="separate"/>
      </w:r>
      <w:r w:rsidR="00AD1819" w:rsidRPr="00AD1819">
        <w:t>[8]</w:t>
      </w:r>
      <w:r w:rsidR="00AD1819">
        <w:fldChar w:fldCharType="end"/>
      </w:r>
      <w:r>
        <w:t xml:space="preserve">. </w:t>
      </w:r>
      <w:proofErr w:type="spellStart"/>
      <w:r>
        <w:t>Gruneir</w:t>
      </w:r>
      <w:proofErr w:type="spellEnd"/>
      <w:r>
        <w:t xml:space="preserve"> et al.</w:t>
      </w:r>
      <w:r w:rsidR="005B0B34">
        <w:t xml:space="preserve"> </w:t>
      </w:r>
      <w:r>
        <w:t xml:space="preserve">validate the LACE index, suggesting the tool can be used to identify </w:t>
      </w:r>
      <w:r w:rsidR="00AD1819">
        <w:t>c</w:t>
      </w:r>
      <w:r>
        <w:t>andidate</w:t>
      </w:r>
      <w:r w:rsidR="00AD1819">
        <w:t xml:space="preserve"> </w:t>
      </w:r>
      <w:r>
        <w:t xml:space="preserve">patients for post-discharge interventions </w:t>
      </w:r>
      <w:r w:rsidR="00AD1819">
        <w:fldChar w:fldCharType="begin"/>
      </w:r>
      <w:r w:rsidR="00B86B7A">
        <w:instrText xml:space="preserve"> ADDIN ZOTERO_ITEM CSL_CITATION {"citationID":"qd8d8r172","properties":{"formattedCitation":"[9]","plainCitation":"[9]"},"citationItems":[{"id":666,"uris":["http://zotero.org/users/1980127/items/HWR63KD2"],"uri":["http://zotero.org/users/1980127/items/HWR63KD2"],"itemData":{"id":666,"type":"article-journal","title":"Unplanned readmissions after hospital discharge among patients identified as being at high risk for readmission using a validated predictive algorithm","container-title":"Open Medicine","page":"e104-e111","volume":"5","issue":"2","archive":"PMC","archive_location":"PMC3148002","abstract":"BACKGROUND: Unplanned hospital readmissions are common, expensive and often preventable. Strategies designed to reduce readmissions should target patients at high risk. The purpose of this study was to describe medical patients identified using a recently published and validated algorithm (the LACE index) as being at high risk for readmission and to examine their actual hospital readmission rates. METHODS: We used population-based administrative data to identify adult medical patients discharged alive from 6 hospitals in Toronto, Canada, during 2007. A LACE index score of 10 or higher was used to identify patients at high risk for readmission. We described patient and hospitalization characteristics among both the high-risk and low-risk groups as well as the 30-day readmission rates. RESULTS: Of 26 045 patients, 12.6% were readmitted to hospital within 30 days and 20.9% were readmitted within 90 days of discharge. High-risk patients (LACE ≥ 10) accounted for 34.0% of the sample but 51.7% of the patients who were readmitted within 30 days. High-risk patients were readmitted with twice the frequency as other patients, had longer lengths of stay and were more likely to die during the readmission. INTERPRETATION: Using a LACE index score of 10, we identified patients with a high rate of readmission who may benefit from improved post-discharge care. Our findings suggest that the LACE index is a potentially useful tool for decision-makers interested in identifying appropriate patients for post-discharge interventions.","ISSN":"1911-2092","author":[{"family":"Gruneir","given":"Andrea"},{"family":"Dhalla","given":"Irfan A"},{"family":"Walraven","given":"Carl","non-dropping-particle":"van"},{"family":"Fischer","given":"Hadas D"},{"family":"Camacho","given":"Ximena"},{"family":"Rochon","given":"Paula A"},{"family":"Anderson","given":"Geoffrey M"}],"issued":{"date-parts":[["2011"]]}}}],"schema":"https://github.com/citation-style-language/schema/raw/master/csl-citation.json"} </w:instrText>
      </w:r>
      <w:r w:rsidR="00AD1819">
        <w:fldChar w:fldCharType="separate"/>
      </w:r>
      <w:r w:rsidR="00AD1819" w:rsidRPr="00AD1819">
        <w:t>[9]</w:t>
      </w:r>
      <w:r w:rsidR="00AD1819">
        <w:fldChar w:fldCharType="end"/>
      </w:r>
      <w:r>
        <w:t>. Conversely, Cotter et al. apply</w:t>
      </w:r>
      <w:r w:rsidR="00AD1819">
        <w:t xml:space="preserve"> </w:t>
      </w:r>
      <w:r>
        <w:t xml:space="preserve">LACE to a population of </w:t>
      </w:r>
      <w:r w:rsidR="00AD1819">
        <w:t xml:space="preserve"> older patients, fi</w:t>
      </w:r>
      <w:r>
        <w:t>nding that the index was not very</w:t>
      </w:r>
      <w:r w:rsidR="00AD1819">
        <w:t xml:space="preserve"> </w:t>
      </w:r>
      <w:r>
        <w:t>predictive in that population</w:t>
      </w:r>
      <w:r w:rsidR="00AD1819">
        <w:t xml:space="preserve"> </w:t>
      </w:r>
      <w:r w:rsidR="00AD1819">
        <w:fldChar w:fldCharType="begin"/>
      </w:r>
      <w:r w:rsidR="00B86B7A">
        <w:instrText xml:space="preserve"> ADDIN ZOTERO_ITEM CSL_CITATION {"citationID":"25o54on6j7","properties":{"formattedCitation":"[10]","plainCitation":"[10]"},"citationItems":[{"id":570,"uris":["http://zotero.org/users/1980127/items/2IS6EAGW"],"uri":["http://zotero.org/users/1980127/items/2IS6EAGW"],"itemData":{"id":570,"type":"article-journal","title":"Predicting readmissions: poor performance of the LACE index in an older UK population","container-title":"Age and Ageing","page":"784-789","volume":"41","issue":"6","source":"CrossRef","DOI":"10.1093/ageing/afs073","ISSN":"0002-0729, 1468-2834","shortTitle":"Predicting readmissions","language":"en","author":[{"family":"Cotter","given":"P. E."},{"family":"Bhalla","given":"V. K."},{"family":"Wallis","given":"S. J."},{"family":"Biram","given":"R. W. S."}],"issued":{"date-parts":[["2012",11,1]]}}}],"schema":"https://github.com/citation-style-language/schema/raw/master/csl-citation.json"} </w:instrText>
      </w:r>
      <w:r w:rsidR="00AD1819">
        <w:fldChar w:fldCharType="separate"/>
      </w:r>
      <w:r w:rsidR="00AD1819" w:rsidRPr="00AD1819">
        <w:t>[10]</w:t>
      </w:r>
      <w:r w:rsidR="00AD1819">
        <w:fldChar w:fldCharType="end"/>
      </w:r>
      <w:r>
        <w:t>. Further studies build upon LACE, including</w:t>
      </w:r>
      <w:r w:rsidR="00F33252">
        <w:t xml:space="preserve"> </w:t>
      </w:r>
      <w:r>
        <w:t xml:space="preserve">an extension by van </w:t>
      </w:r>
      <w:proofErr w:type="spellStart"/>
      <w:r>
        <w:t>Walvaren</w:t>
      </w:r>
      <w:proofErr w:type="spellEnd"/>
      <w:r>
        <w:t xml:space="preserve"> et al. known as LACE+ </w:t>
      </w:r>
      <w:r w:rsidR="00F33252">
        <w:fldChar w:fldCharType="begin"/>
      </w:r>
      <w:r w:rsidR="00B86B7A">
        <w:instrText xml:space="preserve"> ADDIN ZOTERO_ITEM CSL_CITATION {"citationID":"1hi90tdvn9","properties":{"formattedCitation":"[11]","plainCitation":"[11]"},"citationItems":[{"id":942,"uris":["http://zotero.org/users/1980127/items/NIIX8EVQ"],"uri":["http://zotero.org/users/1980127/items/NIIX8EVQ"],"itemData":{"id":942,"type":"article-journal","title":"LACE+ index: extension of a validated index to predict early death or urgent readmission after hospital discharge using administrative data","container-title":"Open Medicine","page":"e80-e90","volume":"6","issue":"3","archive":"PMC","archive_location":"PMC3659212","abstract":"BACKGROUND: Death or urgent readmission after hospital discharge is a common adverse event that can be used to compare outcomes of care between institutions. To accurately adjust for risk and to allow for interhospital comparisons of readmission rates, we used administrative data to derive and internally validate an extension of the LACE index, a previously validated index for 30-day death or urgent readmission. METHODS: We randomly selected 500 000 medical and surgical patients discharged to the community from any Ontario hospital between 1 April 2003 and 31 March 2009. We derived a logistic regression model on 250 000 randomly selected patients from this group and modified the final model into an index scoring system, the LACE+ index. We internally validated the LACE+ index using data from the remaining 250 000 patients and compared its performance with that of the original LACE index. RESULTS: Within 30 days of discharge to the community, 33 825 (6.8%) of the patients had died or had been urgently readmitted. In addition to the variables included in the LACE index (length of stay in hospital [L], acuity of admission [A], comorbidity [C] and emergency department utilization in the 6 months before admission [E]), the LACE+ index incorporated patient age and sex, teaching status of the discharge hospital, acute diagnoses and procedures performed during the index admission, number of days on alternative level of care during the index admission, and number of elective and urgent admissions to hospital in the year before the index admission. The LACE+ index was highly discriminative (C statistic 0.771, 95% confidence interval 0.767–0.775), was well calibrated across most of its range of scores and had a model performance that exceeded that of the LACE index. INTERPRETATION: The LACE+ index can be used to predict the risk of postdischarge death or urgent readmission on the basis of administrative data for the Ontario population. Its performance exceeds that of the LACE index, and it allows analysts to accurately estimate the risk of important postdischarge outcomes.","ISSN":"1911-2092","author":[{"family":"Walraven","given":"Carl","non-dropping-particle":"van"},{"family":"Wong","given":"Jenna"},{"family":"Forster","given":"Alan J"}],"issued":{"date-parts":[["2012"]]}}}],"schema":"https://github.com/citation-style-language/schema/raw/master/csl-citation.json"} </w:instrText>
      </w:r>
      <w:r w:rsidR="00F33252">
        <w:fldChar w:fldCharType="separate"/>
      </w:r>
      <w:r w:rsidR="00F33252" w:rsidRPr="00F33252">
        <w:t>[11]</w:t>
      </w:r>
      <w:r w:rsidR="00F33252">
        <w:fldChar w:fldCharType="end"/>
      </w:r>
      <w:r>
        <w:t>, and a risk score</w:t>
      </w:r>
      <w:r w:rsidR="00F33252">
        <w:t xml:space="preserve"> </w:t>
      </w:r>
      <w:r>
        <w:t xml:space="preserve">termed HOSPITAL by </w:t>
      </w:r>
      <w:proofErr w:type="spellStart"/>
      <w:r>
        <w:t>Donze</w:t>
      </w:r>
      <w:proofErr w:type="spellEnd"/>
      <w:r>
        <w:t xml:space="preserve"> which includes hemoglobin, sodium at discharge,</w:t>
      </w:r>
      <w:r w:rsidR="00F33252">
        <w:t xml:space="preserve"> </w:t>
      </w:r>
      <w:r>
        <w:t>and a few other predictors</w:t>
      </w:r>
      <w:r w:rsidR="005B0B34">
        <w:t xml:space="preserve"> </w:t>
      </w:r>
      <w:r w:rsidR="005B0B34">
        <w:fldChar w:fldCharType="begin"/>
      </w:r>
      <w:r w:rsidR="00B86B7A">
        <w:instrText xml:space="preserve"> ADDIN ZOTERO_ITEM CSL_CITATION {"citationID":"19uhccb21e","properties":{"formattedCitation":"[12]","plainCitation":"[12]"},"citationItems":[{"id":624,"uris":["http://zotero.org/users/1980127/items/V37CMEHI"],"uri":["http://zotero.org/users/1980127/items/V37CMEHI"],"itemData":{"id":624,"type":"article-journal","title":"Potentially Avoidable 30-Day Hospital Readmissions in Medical Patients: Derivation and Validation of a Prediction Model","container-title":"JAMA Internal Medicine","page":"632","volume":"173","issue":"8","source":"CrossRef","DOI":"10.1001/jamainternmed.2013.3023","ISSN":"2168-6106","shortTitle":"Potentially Avoidable 30-Day Hospital Readmissions in Medical Patients","language":"en","author":[{"family":"Donzé","given":"Jacques"},{"family":"Aujesky","given":"Drahomir"},{"family":"Williams","given":"Deborah"},{"family":"Schnipper","given":"Jeffrey L."}],"issued":{"date-parts":[["2013",4,22]]}}}],"schema":"https://github.com/citation-style-language/schema/raw/master/csl-citation.json"} </w:instrText>
      </w:r>
      <w:r w:rsidR="005B0B34">
        <w:fldChar w:fldCharType="separate"/>
      </w:r>
      <w:r w:rsidR="005B0B34" w:rsidRPr="005B0B34">
        <w:t>[12]</w:t>
      </w:r>
      <w:r w:rsidR="005B0B34">
        <w:fldChar w:fldCharType="end"/>
      </w:r>
      <w:r>
        <w:t>.</w:t>
      </w:r>
    </w:p>
    <w:p w:rsidR="000D30DD" w:rsidRDefault="002727BE" w:rsidP="00FB28B4">
      <w:pPr>
        <w:pStyle w:val="Paragraph"/>
      </w:pPr>
      <w:r>
        <w:t>In this study, we similarly attempt to identify patients at high risk of readmission.</w:t>
      </w:r>
      <w:r w:rsidR="005B0B34">
        <w:t xml:space="preserve"> </w:t>
      </w:r>
      <w:r>
        <w:t>Using predictors identi</w:t>
      </w:r>
      <w:r w:rsidR="005B0B34">
        <w:t>fie</w:t>
      </w:r>
      <w:r>
        <w:t xml:space="preserve">d </w:t>
      </w:r>
      <w:r w:rsidR="005B0B34">
        <w:t>primarily</w:t>
      </w:r>
      <w:r>
        <w:t xml:space="preserve"> from </w:t>
      </w:r>
      <w:r w:rsidR="005B0B34">
        <w:t>CMS claims as found in the Claim and Claim Line Feed (CCLF) files provided by the Centers</w:t>
      </w:r>
      <w:r w:rsidR="005B0B34" w:rsidRPr="001D28CF">
        <w:t xml:space="preserve"> for Medicare &amp; Medicaid Services</w:t>
      </w:r>
      <w:r w:rsidR="005B0B34">
        <w:t xml:space="preserve"> (CMS), to participating Accountable Care Organization (ACO) </w:t>
      </w:r>
      <w:r w:rsidR="005B0B34">
        <w:fldChar w:fldCharType="begin"/>
      </w:r>
      <w:r w:rsidR="00B86B7A">
        <w:instrText xml:space="preserve"> ADDIN ZOTERO_ITEM CSL_CITATION {"citationID":"pv15ojdq7","properties":{"formattedCitation":"[13]","plainCitation":"[13]"},"citationItems":[{"id":1118,"uris":["http://zotero.org/users/1980127/items/NF785D8N"],"uri":["http://zotero.org/users/1980127/items/NF785D8N"],"itemData":{"id":1118,"type":"report","title":"Accountable Care Organization – Operational System (ACO-OS) Claim and Claim Line Feed (CCLF) Information Packet (IP) – June Release","publisher":"Centers for Medicare &amp; Medicaid Services","page":"91","abstract":"The purpose of this information packet is to provide instructions for basic operations in the Accountable Care Organization (ACO) Program Claim and Claim Line Feed (CCLF).\nThe ACOs will request that the Centers for Medicare &amp; Medicaid Services (CMS) gather a data feed for beneficiaries who have been notified of the possibility for data sharing and who have not declined to allow CMS to share their claims data with the ACO. The data feed provided to the ACO will include claims for all services covered by Part A (Hospital Insurance) and Part B (Supplemental Medical Insurance) that were provided to beneficiaries who agreed to data sharing and were processed during the prior month. Claims data will also include prescriptions covered by a Prescription Drug Program in which the beneficiary is enrolled. Medicare Claims are submitted by a broad range of facilities (institutional providers), professionals, and suppliers, including hospitals (both inpatient and outpatient claims); physicians; home health agencies (HHA); skilled nursing facilities (SNFs); hospices; and durable medical equipment, prosthetics, orthotics, and supplies (DMEPOS) providers. Some of these provide services that are covered by Part A and/or Part B (e.g., hospitals and SNFs); others provide services that are covered only by Part B.\nMedicare Administrative Contractors (MAC) (formerly Fiscal Intermediaries [FI] and Carriers) are responsible for processing Medicare claims. Different payment methods and claims processing systems are used depending upon the type of facility where services are received. For example, the inpatient prospective payment system (IPPS) is used to price acute hospital inpatient services, the Physician Fee Schedule is used to price physician office visits, and the outpatient prospective payment system (OPPS) is used to price outpatient services received in an outpatient setting. Medicare claims processing entities are responsible for following the rules of the various payment systems and pricing the claims.\nThe data files the ACOs will receive consist of four Part A files, two Part B files, one Part D file, one beneficiary demographics file, and one beneficiary Health Insurance Claim Number (HICN) cross-reference file. These files are described in Section 2: Structure and Content. For Pioneer ACOs, the Alignment Report, which provides identifying information (including names and contact information) for each of the ACO’s assigned beneficiaries, is an important source of information that will be used in conjunction with the data contained in these files","number":"NGC.ICDA.0301.04.0.0713","shortTitle":"Claim and Claim Line Feed (CCLF) Information Packet (IP)","language":"English","author":[{"literal":"Northrup Grumman Corporation Information Systems"}],"issued":{"date-parts":[["2013",7,29]]}}}],"schema":"https://github.com/citation-style-language/schema/raw/master/csl-citation.json"} </w:instrText>
      </w:r>
      <w:r w:rsidR="005B0B34">
        <w:fldChar w:fldCharType="separate"/>
      </w:r>
      <w:r w:rsidR="005B0B34" w:rsidRPr="005B0B34">
        <w:t>[13]</w:t>
      </w:r>
      <w:r w:rsidR="005B0B34">
        <w:fldChar w:fldCharType="end"/>
      </w:r>
      <w:r w:rsidR="005B0B34">
        <w:t xml:space="preserve">, in combination with location based </w:t>
      </w:r>
      <w:r>
        <w:t>socioeconomic predictors available freely online, we identify which</w:t>
      </w:r>
      <w:r w:rsidR="005B0B34">
        <w:t xml:space="preserve"> </w:t>
      </w:r>
      <w:r>
        <w:t>patients are at highest risk of 30-day readmission. We employ a random survival</w:t>
      </w:r>
      <w:r w:rsidR="005B0B34">
        <w:t xml:space="preserve"> </w:t>
      </w:r>
      <w:r>
        <w:t>forest technique (RSF) to generate accurate predictions and provide insight into</w:t>
      </w:r>
      <w:r w:rsidR="005B0B34">
        <w:t xml:space="preserve"> </w:t>
      </w:r>
      <w:r>
        <w:t>which variables are most important. Additionally, we engineer several new features</w:t>
      </w:r>
      <w:r w:rsidR="005B0B34">
        <w:t xml:space="preserve"> </w:t>
      </w:r>
      <w:r>
        <w:t>from combined ICD-9 codes in a patient's claim, showing that these claims</w:t>
      </w:r>
      <w:r w:rsidR="005B0B34">
        <w:t xml:space="preserve"> </w:t>
      </w:r>
      <w:r>
        <w:t>contain information that can be used in prediction.</w:t>
      </w:r>
      <w:r w:rsidR="005B0B34">
        <w:t xml:space="preserve"> </w:t>
      </w:r>
      <w:r>
        <w:t>The next section</w:t>
      </w:r>
      <w:r w:rsidR="005B0B34">
        <w:t>s</w:t>
      </w:r>
      <w:r>
        <w:t xml:space="preserve"> detail</w:t>
      </w:r>
      <w:r w:rsidR="005B0B34">
        <w:t>;</w:t>
      </w:r>
      <w:r>
        <w:t xml:space="preserve"> the types of data </w:t>
      </w:r>
      <w:r w:rsidR="00692122">
        <w:t>used,</w:t>
      </w:r>
      <w:r w:rsidR="005B0B34">
        <w:t xml:space="preserve"> the f</w:t>
      </w:r>
      <w:r>
        <w:t>eature engineering process,</w:t>
      </w:r>
      <w:r w:rsidR="005B0B34">
        <w:t xml:space="preserve"> </w:t>
      </w:r>
      <w:r>
        <w:t xml:space="preserve">the modeling </w:t>
      </w:r>
      <w:r w:rsidR="005B0B34">
        <w:t>t</w:t>
      </w:r>
      <w:r>
        <w:t>echnique of random</w:t>
      </w:r>
      <w:r w:rsidR="005B0B34">
        <w:t xml:space="preserve"> </w:t>
      </w:r>
      <w:r>
        <w:t>survival forest (RSF)</w:t>
      </w:r>
      <w:r w:rsidR="005B0B34">
        <w:t>, as well as the</w:t>
      </w:r>
      <w:r>
        <w:t xml:space="preserve"> results </w:t>
      </w:r>
      <w:r w:rsidR="00BB08E3">
        <w:t>of applying the model to a large data set.</w:t>
      </w:r>
    </w:p>
    <w:p w:rsidR="00692122" w:rsidRDefault="00692122" w:rsidP="00FB28B4">
      <w:pPr>
        <w:pStyle w:val="Heading1"/>
      </w:pPr>
      <w:r>
        <w:t>Data Sources</w:t>
      </w:r>
    </w:p>
    <w:p w:rsidR="00A47BDD" w:rsidRDefault="00692122" w:rsidP="00FB28B4">
      <w:pPr>
        <w:pStyle w:val="Paragraph"/>
      </w:pPr>
      <w:r>
        <w:t>The Centers for Medicare and Medicaid Services, or CMS, established the Accountable Care Organization (ACO) model, where groups of health care providers could unite to form th</w:t>
      </w:r>
      <w:r w:rsidR="00A47BDD">
        <w:t>eir own ACO. Providers within</w:t>
      </w:r>
      <w:r>
        <w:t xml:space="preserve"> an ACO work together to coordinate care for </w:t>
      </w:r>
      <w:r w:rsidR="00A47BDD">
        <w:t xml:space="preserve">the member </w:t>
      </w:r>
      <w:r>
        <w:t>Medicare beneficiaries. As a result of</w:t>
      </w:r>
      <w:r w:rsidR="00A47BDD">
        <w:t xml:space="preserve"> </w:t>
      </w:r>
      <w:r>
        <w:t>their collaboration, ACOs are eligible to receive a share of the savings that they</w:t>
      </w:r>
      <w:r w:rsidR="00A47BDD">
        <w:t xml:space="preserve"> </w:t>
      </w:r>
      <w:r>
        <w:t xml:space="preserve">generate for the Medicare program </w:t>
      </w:r>
      <w:r w:rsidR="00A47BDD">
        <w:fldChar w:fldCharType="begin"/>
      </w:r>
      <w:r w:rsidR="00B86B7A">
        <w:instrText xml:space="preserve"> ADDIN ZOTERO_ITEM CSL_CITATION {"citationID":"1c163nis4i","properties":{"formattedCitation":"[14]","plainCitation":"[14]"},"citationItems":[{"id":987,"uris":["http://zotero.org/users/1980127/items/N966C8CI"],"uri":["http://zotero.org/users/1980127/items/N966C8CI"],"itemData":{"id":987,"type":"article","title":"Readmissions Reduction Program","publisher":"CMS","author":[{"literal":"CMS.gov"}],"issued":{"date-parts":[["2015",11,4]]}}}],"schema":"https://github.com/citation-style-language/schema/raw/master/csl-citation.json"} </w:instrText>
      </w:r>
      <w:r w:rsidR="00A47BDD">
        <w:fldChar w:fldCharType="separate"/>
      </w:r>
      <w:r w:rsidR="00A47BDD" w:rsidRPr="00A47BDD">
        <w:t>[14]</w:t>
      </w:r>
      <w:r w:rsidR="00A47BDD">
        <w:fldChar w:fldCharType="end"/>
      </w:r>
      <w:r>
        <w:t>. The University of Virginia Health System</w:t>
      </w:r>
      <w:r w:rsidR="00A47BDD">
        <w:t xml:space="preserve"> </w:t>
      </w:r>
      <w:r>
        <w:t>participates in the Well Virginia ACO, which serves over 20,000 Medicare</w:t>
      </w:r>
      <w:r w:rsidR="00A47BDD">
        <w:t xml:space="preserve"> </w:t>
      </w:r>
      <w:r>
        <w:t>bene</w:t>
      </w:r>
      <w:r w:rsidR="00A47BDD">
        <w:t>fi</w:t>
      </w:r>
      <w:r>
        <w:t xml:space="preserve">ciaries </w:t>
      </w:r>
      <w:r w:rsidR="00A47BDD">
        <w:fldChar w:fldCharType="begin"/>
      </w:r>
      <w:r w:rsidR="00B86B7A">
        <w:instrText xml:space="preserve"> ADDIN ZOTERO_ITEM CSL_CITATION {"citationID":"1b3l1ui7m3","properties":{"formattedCitation":"[15]","plainCitation":"[15]"},"citationItems":[{"id":980,"uris":["http://zotero.org/users/1980127/items/ZSBATWJS"],"uri":["http://zotero.org/users/1980127/items/ZSBATWJS"],"itemData":{"id":980,"type":"article","title":"Well Virginia ACO","publisher":"Well Virginia"}}],"schema":"https://github.com/citation-style-language/schema/raw/master/csl-citation.json"} </w:instrText>
      </w:r>
      <w:r w:rsidR="00A47BDD">
        <w:fldChar w:fldCharType="separate"/>
      </w:r>
      <w:r w:rsidR="00A47BDD" w:rsidRPr="00A47BDD">
        <w:t>[15]</w:t>
      </w:r>
      <w:r w:rsidR="00A47BDD">
        <w:fldChar w:fldCharType="end"/>
      </w:r>
      <w:r>
        <w:t>.</w:t>
      </w:r>
      <w:r w:rsidR="00A47BDD" w:rsidRPr="00A47BDD">
        <w:t xml:space="preserve"> The data used for development of the predictive models in this study </w:t>
      </w:r>
      <w:r w:rsidR="00A47BDD">
        <w:t>included claims based information</w:t>
      </w:r>
      <w:r w:rsidR="00A47BDD" w:rsidRPr="00A47BDD">
        <w:t xml:space="preserve"> extracted from the Claim and Claim Line Feed (CCLF) files provided by the Centers for Medicare &amp; Medicaid Services (CMS). Because they are transaction oriented, considerable data manipulation was required in order to transform the CCLF records into a set of event history records </w:t>
      </w:r>
      <w:r w:rsidR="00A47BDD">
        <w:t xml:space="preserve">for </w:t>
      </w:r>
      <w:r w:rsidR="00A47BDD" w:rsidRPr="00A47BDD">
        <w:t xml:space="preserve">each patient describing one or more spells of care that involved one or more episodes of inpatient hospital </w:t>
      </w:r>
      <w:r w:rsidR="00777368" w:rsidRPr="00A47BDD">
        <w:t xml:space="preserve">care. </w:t>
      </w:r>
      <w:r w:rsidR="00A47BDD" w:rsidRPr="00A47BDD">
        <w:t>The final data set included 5,364 patients with a total of 10,167 inpatient care episodes</w:t>
      </w:r>
      <w:r w:rsidR="009875AB">
        <w:rPr>
          <w:rStyle w:val="FootnoteReference"/>
        </w:rPr>
        <w:footnoteReference w:id="1"/>
      </w:r>
      <w:r w:rsidR="00A47BDD" w:rsidRPr="00A47BDD">
        <w:t xml:space="preserve"> encompassed within 9,461 care spells. The earliest inpatient event occurred on 2013-01-01 and the last on 2014-09-17.</w:t>
      </w:r>
      <w:r>
        <w:t xml:space="preserve"> </w:t>
      </w:r>
      <w:r w:rsidR="00A47BDD">
        <w:t xml:space="preserve"> </w:t>
      </w:r>
    </w:p>
    <w:p w:rsidR="00251944" w:rsidRDefault="00A47BDD" w:rsidP="00FB28B4">
      <w:pPr>
        <w:pStyle w:val="Paragraph"/>
      </w:pPr>
      <w:r>
        <w:t xml:space="preserve">In addition to the claims data, additional features in the model consist of </w:t>
      </w:r>
      <w:r w:rsidR="00CA306D">
        <w:t>a range of</w:t>
      </w:r>
      <w:r>
        <w:t xml:space="preserve"> socioeconomic variables. Several studies indicate that socioeconomic status and the environments in which patients live can affect their readmission rates</w:t>
      </w:r>
      <w:r w:rsidR="0082190A">
        <w:t xml:space="preserve"> </w:t>
      </w:r>
      <w:r w:rsidR="0082190A">
        <w:fldChar w:fldCharType="begin"/>
      </w:r>
      <w:r w:rsidR="00B86B7A">
        <w:instrText xml:space="preserve"> ADDIN ZOTERO_ITEM CSL_CITATION {"citationID":"2lqrajkh8m","properties":{"formattedCitation":"[16]","plainCitation":"[16]"},"citationItems":[{"id":283,"uris":["http://zotero.org/users/1980127/items/XAXPEXM3"],"uri":["http://zotero.org/users/1980127/items/XAXPEXM3"],"itemData":{"id":283,"type":"article-journal","title":"Postdischarge Environmental and Socioeconomic Factors and the Likelihood of Early Hospital Readmission Among Community-Dwelling Medicare Beneficiaries","container-title":"The Gerontologist","page":"495-504","volume":"48","issue":"4","source":"CrossRef","DOI":"10.1093/geront/48.4.495","ISSN":"0016-9013, 1758-5341","language":"en","author":[{"family":"Arbaje","given":"A. I."},{"family":"Wolff","given":"J. L."},{"family":"Yu","given":"Q."},{"family":"Powe","given":"N. R."},{"family":"Anderson","given":"G. F."},{"family":"Boult","given":"C."}],"issued":{"date-parts":[["2008",8,1]]}}}],"schema":"https://github.com/citation-style-language/schema/raw/master/csl-citation.json"} </w:instrText>
      </w:r>
      <w:r w:rsidR="0082190A">
        <w:fldChar w:fldCharType="separate"/>
      </w:r>
      <w:r w:rsidR="0082190A" w:rsidRPr="0082190A">
        <w:t>[16]</w:t>
      </w:r>
      <w:r w:rsidR="0082190A">
        <w:fldChar w:fldCharType="end"/>
      </w:r>
      <w:r w:rsidR="0082190A">
        <w:t xml:space="preserve">, </w:t>
      </w:r>
      <w:r w:rsidR="0082190A">
        <w:fldChar w:fldCharType="begin"/>
      </w:r>
      <w:r w:rsidR="00B86B7A">
        <w:instrText xml:space="preserve"> ADDIN ZOTERO_ITEM CSL_CITATION {"citationID":"1ar8kkn7ge","properties":{"formattedCitation":"[17]","plainCitation":"[17]"},"citationItems":[{"id":761,"uris":["http://zotero.org/users/1980127/items/2JV6ZVDC"],"uri":["http://zotero.org/users/1980127/items/2JV6ZVDC"],"itemData":{"id":761,"type":"article-journal","title":"Socioeconomic status, treatment, and outcomes among elderly patients hospitalized with heart failure: Findings from the National Heart Failure Project","container-title":"American Heart Journal","page":"371-378","volume":"152","issue":"2","source":"CrossRef","DOI":"10.1016/j.ahj.2005.12.002","ISSN":"00028703","shortTitle":"Socioeconomic status, treatment, and outcomes among elderly patients hospitalized with heart failure","language":"en","author":[{"family":"Rathore","given":"Saif S."},{"family":"Masoudi","given":"Frederick A."},{"family":"Wang","given":"Yongfei"},{"family":"Curtis","given":"Jeptha P."},{"family":"Foody","given":"JoAnne M."},{"family":"Havranek","given":"Edward P."},{"family":"Krumholz","given":"Harlan M."}],"issued":{"date-parts":[["2006",8]]}}}],"schema":"https://github.com/citation-style-language/schema/raw/master/csl-citation.json"} </w:instrText>
      </w:r>
      <w:r w:rsidR="0082190A">
        <w:fldChar w:fldCharType="separate"/>
      </w:r>
      <w:r w:rsidR="0082190A" w:rsidRPr="0082190A">
        <w:t>[17]</w:t>
      </w:r>
      <w:r w:rsidR="0082190A">
        <w:fldChar w:fldCharType="end"/>
      </w:r>
      <w:r w:rsidR="0082190A">
        <w:t xml:space="preserve">, </w:t>
      </w:r>
      <w:r w:rsidR="0082190A">
        <w:fldChar w:fldCharType="begin"/>
      </w:r>
      <w:r w:rsidR="00B86B7A">
        <w:instrText xml:space="preserve"> ADDIN ZOTERO_ITEM CSL_CITATION {"citationID":"1rq5dhp37t","properties":{"formattedCitation":"[18]","plainCitation":"[18]"},"citationItems":[{"id":676,"uris":["http://zotero.org/users/1980127/items/XKEK3MM8"],"uri":["http://zotero.org/users/1980127/items/XKEK3MM8"],"itemData":{"id":676,"type":"article-journal","title":"Socioeconomic Status And Readmissions: Evidence From An Urban Teaching Hospital","container-title":"Health Affairs","page":"778-785","volume":"33","issue":"5","source":"CrossRef","DOI":"10.1377/hlthaff.2013.0816","ISSN":"0278-2715, 1544-5208","shortTitle":"Socioeconomic Status And Readmissions","language":"en","author":[{"family":"Hu","given":"J."},{"family":"Gonsahn","given":"M. D."},{"family":"Nerenz","given":"D. R."}],"issued":{"date-parts":[["2014",5,1]]}}}],"schema":"https://github.com/citation-style-language/schema/raw/master/csl-citation.json"} </w:instrText>
      </w:r>
      <w:r w:rsidR="0082190A">
        <w:fldChar w:fldCharType="separate"/>
      </w:r>
      <w:r w:rsidR="0082190A" w:rsidRPr="0082190A">
        <w:t>[18]</w:t>
      </w:r>
      <w:r w:rsidR="0082190A">
        <w:fldChar w:fldCharType="end"/>
      </w:r>
      <w:r>
        <w:t>. Therefore,</w:t>
      </w:r>
      <w:r w:rsidR="0082190A">
        <w:t xml:space="preserve"> </w:t>
      </w:r>
      <w:r>
        <w:t>to add additional socioeconomic data to the model, we downloaded data</w:t>
      </w:r>
      <w:r w:rsidR="0082190A">
        <w:t xml:space="preserve"> </w:t>
      </w:r>
      <w:r>
        <w:t>for the state of Virginia from the County Health Rankings website provided by</w:t>
      </w:r>
      <w:r w:rsidR="0082190A">
        <w:t xml:space="preserve"> </w:t>
      </w:r>
      <w:r>
        <w:t xml:space="preserve">the University of Wisconsin Population Health Institute </w:t>
      </w:r>
      <w:r w:rsidR="0082190A">
        <w:fldChar w:fldCharType="begin"/>
      </w:r>
      <w:r w:rsidR="00B86B7A">
        <w:instrText xml:space="preserve"> ADDIN ZOTERO_ITEM CSL_CITATION {"citationID":"2kkeadad08","properties":{"formattedCitation":"[19]","plainCitation":"[19]"},"citationItems":[{"id":758,"uris":["http://zotero.org/users/1980127/items/4FABUQA3"],"uri":["http://zotero.org/users/1980127/items/4FABUQA3"],"itemData":{"id":758,"type":"article","title":"University of Wisconsin Population Health Institute. County Health Rankings and Roadmaps","issued":{"date-parts":[["2015"]]}}}],"schema":"https://github.com/citation-style-language/schema/raw/master/csl-citation.json"} </w:instrText>
      </w:r>
      <w:r w:rsidR="0082190A">
        <w:fldChar w:fldCharType="separate"/>
      </w:r>
      <w:r w:rsidR="0082190A" w:rsidRPr="0082190A">
        <w:t>[19]</w:t>
      </w:r>
      <w:r w:rsidR="0082190A">
        <w:fldChar w:fldCharType="end"/>
      </w:r>
      <w:r>
        <w:t>. These variables</w:t>
      </w:r>
      <w:r w:rsidR="0082190A">
        <w:t xml:space="preserve"> </w:t>
      </w:r>
      <w:r>
        <w:t>include demographic health data, such as the percentage of adults in each county</w:t>
      </w:r>
      <w:r w:rsidR="0082190A">
        <w:t xml:space="preserve"> </w:t>
      </w:r>
      <w:r>
        <w:t>who are obese, the percentage of adults who smoke, and the percentage of adults</w:t>
      </w:r>
      <w:r w:rsidR="0082190A">
        <w:t xml:space="preserve"> </w:t>
      </w:r>
      <w:r>
        <w:t>who are diabetic, as well as variables that relate to the level of care available</w:t>
      </w:r>
      <w:r w:rsidR="0082190A">
        <w:t xml:space="preserve"> </w:t>
      </w:r>
      <w:r>
        <w:t>in each county, such as the number of dentists and the number of primary care</w:t>
      </w:r>
      <w:r w:rsidR="0082190A">
        <w:t xml:space="preserve"> </w:t>
      </w:r>
      <w:r>
        <w:t xml:space="preserve">physicians in each county. </w:t>
      </w:r>
      <w:r w:rsidR="00251944" w:rsidRPr="00251944">
        <w:t>With the patient’s address, it was</w:t>
      </w:r>
      <w:r w:rsidR="00251944">
        <w:t xml:space="preserve"> also</w:t>
      </w:r>
      <w:r w:rsidR="00251944" w:rsidRPr="00251944">
        <w:t xml:space="preserve"> possible to determine the US census block in which they resided </w:t>
      </w:r>
      <w:r w:rsidR="00251944">
        <w:fldChar w:fldCharType="begin"/>
      </w:r>
      <w:r w:rsidR="00B86B7A">
        <w:instrText xml:space="preserve"> ADDIN ZOTERO_ITEM CSL_CITATION {"citationID":"2aso1u9296","properties":{"formattedCitation":"[20]","plainCitation":"[20]"},"citationItems":[{"id":1113,"uris":["http://zotero.org/users/1980127/items/5Z2CXZXK"],"uri":["http://zotero.org/users/1980127/items/5Z2CXZXK"],"itemData":{"id":1113,"type":"book","title":"Census Block Conversions API","publisher":"Federal Communications Commision","issued":{"date-parts":[["2009",4,11]]}}}],"schema":"https://github.com/citation-style-language/schema/raw/master/csl-citation.json"} </w:instrText>
      </w:r>
      <w:r w:rsidR="00251944">
        <w:fldChar w:fldCharType="separate"/>
      </w:r>
      <w:r w:rsidR="00251944" w:rsidRPr="00251944">
        <w:t>[20]</w:t>
      </w:r>
      <w:r w:rsidR="00251944">
        <w:fldChar w:fldCharType="end"/>
      </w:r>
      <w:r w:rsidR="00251944" w:rsidRPr="00251944">
        <w:t>. Using this information it was possible to extract information on a varie</w:t>
      </w:r>
      <w:r w:rsidR="00251944">
        <w:t xml:space="preserve">ty of socioeconomic factors </w:t>
      </w:r>
      <w:r w:rsidR="00251944">
        <w:fldChar w:fldCharType="begin"/>
      </w:r>
      <w:r w:rsidR="00B86B7A">
        <w:instrText xml:space="preserve"> ADDIN ZOTERO_ITEM CSL_CITATION {"citationID":"5mgit1vi8","properties":{"formattedCitation":"[21]","plainCitation":"[21]"},"citationItems":[{"id":221,"uris":["http://zotero.org/users/1980127/items/XNT7GD4H"],"uri":["http://zotero.org/users/1980127/items/XNT7GD4H"],"itemData":{"id":221,"type":"paper-conference","title":"Brainwash: A Data System for Feature Engineering.","container-title":"CIDR","source":"Google Scholar","URL":"http://cidrdb.org/cidr2013/Papers/CIDR13_Paper82.pdf","shortTitle":"Brainwash","author":[{"family":"Anderson","given":"Michael"},{"family":"Antenucci","given":"Dolan"},{"family":"Bittorf","given":"Victor"},{"family":"Burgess","given":"Matthew"},{"family":"Cafarella","given":"Michael J."},{"family":"Kumar","given":"Arun"},{"family":"Niu","given":"Feng"},{"family":"Park","given":"Yongjoo"},{"family":"Ré","given":"Christopher"},{"family":"Zhang","given":"Ce"}],"issued":{"date-parts":[["2013"]]},"accessed":{"date-parts":[["2015",8,11]]}}}],"schema":"https://github.com/citation-style-language/schema/raw/master/csl-citation.json"} </w:instrText>
      </w:r>
      <w:r w:rsidR="00251944">
        <w:fldChar w:fldCharType="separate"/>
      </w:r>
      <w:r w:rsidR="00924715" w:rsidRPr="00924715">
        <w:t>[21]</w:t>
      </w:r>
      <w:r w:rsidR="00251944">
        <w:fldChar w:fldCharType="end"/>
      </w:r>
      <w:r w:rsidR="00251944" w:rsidRPr="00251944">
        <w:t>. Included in the model were factors related to median income, and level of education</w:t>
      </w:r>
      <w:r w:rsidR="005F34C6">
        <w:t>.</w:t>
      </w:r>
    </w:p>
    <w:p w:rsidR="009875AB" w:rsidRDefault="009875AB" w:rsidP="00FB28B4">
      <w:pPr>
        <w:pStyle w:val="Heading1"/>
      </w:pPr>
      <w:r>
        <w:lastRenderedPageBreak/>
        <w:t>Model Development</w:t>
      </w:r>
    </w:p>
    <w:p w:rsidR="009875AB" w:rsidRDefault="009875AB" w:rsidP="00FB28B4">
      <w:pPr>
        <w:pStyle w:val="Paragraph"/>
      </w:pPr>
      <w:r>
        <w:t xml:space="preserve">As described earlier, the performance of the currently published models designed to predict 30 day readmission is poor, suggesting that there are relationships between factors attributable to the patients and their environment, the course of their treatment, the progression of their illness, and the likelihood they will be readmitted within 30 days of discharge, which are too complex to be captured with simpler predictive model algorithms targeting categorical outcomes. In many fields where predictive modeling is used, the desire for the most accurate prediction far outweighs the need for interpretability; this is not generally true in the medical field where there is a tension between prediction and interpretation. If a model is to be designed to predict patient readmission as accurately as possible, it should not be constrained by the requirement for interpretability. Kuhn and Johnson, among others have stated that in a medical setting, it would be unethical to adopt a model that is more easily interpreted at the sacrifice of accuracy. “As long as the model can be appropriately validated, it should not matter whether it is a black box or a simple interpretable model” </w:t>
      </w:r>
      <w:r>
        <w:fldChar w:fldCharType="begin"/>
      </w:r>
      <w:r w:rsidR="00B86B7A">
        <w:instrText xml:space="preserve"> ADDIN ZOTERO_ITEM CSL_CITATION {"citationID":"2q4dkp5ng","properties":{"formattedCitation":"[22]","plainCitation":"[22]"},"citationItems":[{"id":176,"uris":["http://zotero.org/users/1980127/items/HW5TQR26"],"uri":["http://zotero.org/users/1980127/items/HW5TQR26"],"itemData":{"id":176,"type":"book","title":"Applied Predictive Modeling","publisher":"Springer","publisher-place":"New York","number-of-pages":"600","edition":"2013 edition","source":"Amazon.com","event-place":"New York","abstract":"This text is intended for a broad audience as both an introduction to predictive models as well as a guide to applying them. Non-mathematical readers will appreciate the intuitive explanations of the techniques while an emphasis on problem-solving with real data across a wide variety of applications will aid practitioners who wish to extend their expertise. Readers should have knowledge of basic statistical ideas, such as correlation and linear regression analysis. While the text is biased against complex equations, a mathematical background is needed for advanced topics.Dr. Kuhn is a Director of Non-Clinical Statistics at Pfizer Global R&amp;D in Groton Connecticut. He has been applying predictive models in the pharmaceutical and diagnostic industries for over 15 years and is the author of a number of R packages. Dr. Johnson has more than a decade of statistical consulting and predictive modeling experience in pharmaceutical research and development.  He is a co-founder of Arbor Analytics, a firm specializing in predictive modeling and is a former Director of Statistics at Pfizer Global R&amp;D.  His scholarly work centers on the application and development of statistical methodology and learning algorithms.Applied Predictive Modeling covers the overall predictive modeling process, beginning with the crucial steps of data preprocessing, data splitting and foundations of model tuning.  The text then provides intuitive explanations of numerous common and modern regression and classification techniques, always with an emphasis on illustrating and solving real data problems.  Addressing practical concerns extends beyond model fitting to topics such as handling class imbalance, selecting predictors, and pinpointing causes of poor model performance—all of which are problems that occur frequently in practice. The text illustrates all parts of the modeling process through many hands-on, real-life examples.  And every chapter contains extensive R code for each step of the process.  The data sets and corresponding code are available in the book’s companion AppliedPredictiveModeling R package, which is freely available on the CRAN archive. This multi-purpose text can be used as an introduction to predictive models and the overall modeling process, a practitioner’s reference handbook, or as a text for advanced undergraduate or graduate level predictive modeling courses.  To that end, each chapter contains problem sets to help solidify the covered concepts and uses data available in the book’s R package. Readers and students interested in implementing the methods should have some basic knowledge of R.  And a handful of the more advanced topics require some mathematical knowledge.","ISBN":"978-1-4614-6848-6","language":"English","author":[{"family":"Kuhn","given":"Max"},{"family":"Johnson","given":"Kjell"}],"issued":{"date-parts":[["2013",9,15]]}}}],"schema":"https://github.com/citation-style-language/schema/raw/master/csl-citation.json"} </w:instrText>
      </w:r>
      <w:r>
        <w:fldChar w:fldCharType="separate"/>
      </w:r>
      <w:r w:rsidRPr="009875AB">
        <w:t>[22]</w:t>
      </w:r>
      <w:r>
        <w:fldChar w:fldCharType="end"/>
      </w:r>
      <w:r>
        <w:t>.</w:t>
      </w:r>
    </w:p>
    <w:p w:rsidR="00FB28B4" w:rsidRDefault="00FB28B4" w:rsidP="00FB28B4">
      <w:pPr>
        <w:pStyle w:val="Heading1"/>
      </w:pPr>
      <w:r>
        <w:t>Statistical Learning Technique for Survival Function Estimation</w:t>
      </w:r>
      <w:r>
        <w:t xml:space="preserve"> </w:t>
      </w:r>
    </w:p>
    <w:p w:rsidR="00CF2235" w:rsidRDefault="009875AB" w:rsidP="00FB28B4">
      <w:pPr>
        <w:pStyle w:val="Paragraph"/>
      </w:pPr>
      <w:r>
        <w:t>Time to patient readmission data is amenable to the application of survival modeling, a collection of statistical techniques that take into many of the issues inherent in dealing with time to event data including censoring and competing risks</w:t>
      </w:r>
      <w:r w:rsidR="00CF2235">
        <w:t xml:space="preserve"> </w:t>
      </w:r>
      <w:r w:rsidR="00CF2235">
        <w:fldChar w:fldCharType="begin"/>
      </w:r>
      <w:r w:rsidR="00B86B7A">
        <w:instrText xml:space="preserve"> ADDIN ZOTERO_ITEM CSL_CITATION {"citationID":"319qssm3f","properties":{"formattedCitation":"[23]","plainCitation":"[23]"},"citationItems":[{"id":134,"uris":["http://zotero.org/users/1980127/items/EAXIXW2C"],"uri":["http://zotero.org/users/1980127/items/EAXIXW2C"],"itemData":{"id":134,"type":"book","title":"Statistical Methods for Survival Data Analysis","publisher":"Wiley-Interscience","publisher-place":"New York","number-of-pages":"534","edition":"3 edition","source":"Amazon.com","event-place":"New York","abstract":"Third Edition brings the text up to date with new material and updated references.New content includes an introduction to left and interval censored data; the log-logistic distribution; estimation procedures for left and interval censored data; parametric methods iwth covariates; Cox's proportional hazards model (including stratification and time-dependent covariates); and multiple responses to the logistic regression model.Coverage of graphical methods has been deleted.Large data sets are provided on an FTP site for readers' convenience.Bibliographic remarks conclude each chapter.","ISBN":"978-0-471-36997-4","language":"English","author":[{"family":"Lee","given":"Elisa T."}],"issued":{"date-parts":[["2003",4,17]]}}}],"schema":"https://github.com/citation-style-language/schema/raw/master/csl-citation.json"} </w:instrText>
      </w:r>
      <w:r w:rsidR="00CF2235">
        <w:fldChar w:fldCharType="separate"/>
      </w:r>
      <w:r w:rsidR="00CF2235" w:rsidRPr="00CF2235">
        <w:rPr>
          <w:rFonts w:ascii="Calibri" w:hAnsi="Calibri"/>
          <w:sz w:val="22"/>
        </w:rPr>
        <w:t>[23]</w:t>
      </w:r>
      <w:r w:rsidR="00CF2235">
        <w:fldChar w:fldCharType="end"/>
      </w:r>
      <w:r>
        <w:t>. While a variety of algorithms are available for estimation of the survival and related hazard functions in the presence of covariates.  However most of these methods rely on restrictive assumptions such as proportional hazards, and are typically parametric in nature, requiring assumption of first, second, and third moments of the generating functions associated with the underlying selected parametric density family.  Depending on the assumed density function, nonlinear effects of variables must be handled through transformations or expansion to include specialized basis functions. When there are multiple, possibly interacting covariates present, they are difficult to identify, and typically involves the researcher examining all two-way and three-way interactions, possibly relying on subjective knowledge to narrow the search.</w:t>
      </w:r>
      <w:r w:rsidR="00CF2235">
        <w:t xml:space="preserve"> </w:t>
      </w:r>
      <w:r>
        <w:t xml:space="preserve">Non-parametric methods exist for the estimation of the survival function </w:t>
      </w:r>
      <w:r w:rsidR="00CF2235">
        <w:fldChar w:fldCharType="begin"/>
      </w:r>
      <w:r w:rsidR="00B86B7A">
        <w:instrText xml:space="preserve"> ADDIN ZOTERO_ITEM CSL_CITATION {"citationID":"2cl3evbn1f","properties":{"formattedCitation":"[24]","plainCitation":"[24]"},"citationItems":[{"id":1121,"uris":["http://zotero.org/users/1980127/items/Q8ATT984"],"uri":["http://zotero.org/users/1980127/items/Q8ATT984"],"itemData":{"id":1121,"type":"article-journal","title":"Nonparametric Survival Analysis","container-title":"Statistical Science","page":"615-623","volume":"19","issue":"4","source":"JSTOR","abstract":"Some classes of nonparametric procedures with randomly right-censored data are presented. They include procedures for analysis of variance and analysis of covariance designs with independent and dependent ordinal (continuous and discrete) data.","ISSN":"0883-4237","journalAbbreviation":"Statistical Science","author":[{"family":"Akritas","given":"Michael G."}],"issued":{"date-parts":[["2004",11,1]]}}}],"schema":"https://github.com/citation-style-language/schema/raw/master/csl-citation.json"} </w:instrText>
      </w:r>
      <w:r w:rsidR="00CF2235">
        <w:fldChar w:fldCharType="separate"/>
      </w:r>
      <w:r w:rsidR="00CF2235" w:rsidRPr="00CF2235">
        <w:t>[24]</w:t>
      </w:r>
      <w:r w:rsidR="00CF2235">
        <w:fldChar w:fldCharType="end"/>
      </w:r>
      <w:r>
        <w:t xml:space="preserve">, such as the Kaplan–Meier estimator </w:t>
      </w:r>
      <w:r w:rsidR="00CF2235">
        <w:fldChar w:fldCharType="begin"/>
      </w:r>
      <w:r w:rsidR="00B86B7A">
        <w:instrText xml:space="preserve"> ADDIN ZOTERO_ITEM CSL_CITATION {"citationID":"1q5qu72u0","properties":{"formattedCitation":"[25]","plainCitation":"[25]"},"citationItems":[{"id":1114,"uris":["http://zotero.org/users/1980127/items/9WFPDMEH"],"uri":["http://zotero.org/users/1980127/items/9WFPDMEH"],"itemData":{"id":1114,"type":"article-journal","title":"Nonparametric Estimation from Incomplete Observations","container-title":"Journal of the American Statistical Association","page":"457-481","volume":"53","issue":"282","source":"JSTOR","abstract":"In lifetesting, medical follow-up, and other fields the observation of the time of occurrence of the event of interest (called a death) may be prevented for some of the items of the sample by the previous occurrence of some other event (called a loss). Losses may be either accidental or controlled, the latter resulting from a decision to terminate certain observations. In either case it is usually assumed in this paper that the lifetime (age at death) is independent of the potential loss time; in practice this assumption deserves careful scrutiny. Despite the resulting incompleteness of the data, it is desired to estimate the proportion P(t) of items in the population whose lifetimes would exceed t (in the absence of such losses), without making any assumption about the form of the function P(t). The observation for each item of a suitable initial event, marking the beginning of its lifetime, is presupposed. For random samples of size N the product-limit (PL) estimate can be defined as follows: List and label the N observed lifetimes (whether to death or loss) in order of increasing magnitude, so that one has 0 ≤ t&lt;sub&gt;1&lt;/sub&gt;' ≤ t&lt;sub&gt;2&lt;/sub&gt;' ≤ </w:instrText>
      </w:r>
      <w:r w:rsidR="00B86B7A">
        <w:rPr>
          <w:rFonts w:ascii="Cambria Math" w:hAnsi="Cambria Math" w:cs="Cambria Math"/>
        </w:rPr>
        <w:instrText>⋯</w:instrText>
      </w:r>
      <w:r w:rsidR="00B86B7A">
        <w:instrText xml:space="preserve"> ≤ t&lt;sub&gt;N&lt;/sub&gt;'. Then &lt;tex-math&gt;$\\hat{P}(t) = \\prod_r \\lbrack(N - r)/(N - r + 1)\\rbrack$&lt;/tex-math&gt;, where r assumes those values for which t&lt;sub&gt;r&lt;/sub&gt;' ≤ t and for which t&lt;sub&gt;r&lt;/sub&gt;' measures the time to death. This estimate is the distribution, unrestricted as to form, which maximizes the likelihood of the observations. Other estimates that are discussed are the actuarial estimates (which are also products, but with the number of factors usually reduced by grouping); and reduced-sample (RS) estimates, which require that losses not be accidental, so that the limits of observation (potential loss times) are known even for those items whose deaths are observed. When no losses occur at ages less than t, the estimate of P(t) in all cases reduces to the usual binomial estimate, namely, the observed proportion of survivors.","DOI":"10.2307/2281868","ISSN":"0162-1459","journalAbbreviation":"Journal of the American Statistical Association","author":[{"family":"Kaplan","given":"E. L."},{"family":"Meier","given":"Paul"}],"issued":{"date-parts":[["1958",6,1]]}}}],"schema":"https://github.com/citation-style-language/schema/raw/master/csl-citation.json"} </w:instrText>
      </w:r>
      <w:r w:rsidR="00CF2235">
        <w:fldChar w:fldCharType="separate"/>
      </w:r>
      <w:r w:rsidR="00CF2235" w:rsidRPr="00CF2235">
        <w:rPr>
          <w:rFonts w:ascii="Calibri" w:hAnsi="Calibri"/>
          <w:sz w:val="22"/>
        </w:rPr>
        <w:t>[25]</w:t>
      </w:r>
      <w:r w:rsidR="00CF2235">
        <w:fldChar w:fldCharType="end"/>
      </w:r>
      <w:r>
        <w:t>. The advantage of these methods is their ease of use, but they are most suitable for controlled cohort analysis.</w:t>
      </w:r>
    </w:p>
    <w:p w:rsidR="00CF2235" w:rsidRDefault="00CF2235" w:rsidP="00FB28B4">
      <w:pPr>
        <w:pStyle w:val="Paragraph"/>
      </w:pPr>
      <w:r>
        <w:t xml:space="preserve">Several methods within the area of statistical learning can be used for functional approximation. </w:t>
      </w:r>
      <w:proofErr w:type="spellStart"/>
      <w:r>
        <w:t>Cybenko’s</w:t>
      </w:r>
      <w:proofErr w:type="spellEnd"/>
      <w:r>
        <w:t xml:space="preserve"> theorem </w:t>
      </w:r>
      <w:r>
        <w:fldChar w:fldCharType="begin"/>
      </w:r>
      <w:r w:rsidR="00B86B7A">
        <w:instrText xml:space="preserve"> ADDIN ZOTERO_ITEM CSL_CITATION {"citationID":"qld7215ai","properties":{"formattedCitation":"[26]","plainCitation":"[26]"},"citationItems":[{"id":1119,"uris":["http://zotero.org/users/1980127/items/NKQECEGR"],"uri":["http://zotero.org/users/1980127/items/NKQECEGR"],"itemData":{"id":1119,"type":"article-journal","title":"Approximation by superpositions of a sigmoidal function","container-title":"Mathematics of Control, Signals and Systems","page":"303-314","volume":"2","issue":"4","source":"link.springer.com","abstract":"In this paper we demonstrate that finite linear combinations of compositions of a fixed, univariate function and a set of affine functionals can uniformly approximate any continuous function ofn real variables with support in the unit hypercube; only mild conditions are imposed on the univariate function. Our results settle an open question about representability in the class of single hidden layer neural networks. In particular, we show that arbitrary decision regions can be arbitrarily well approximated by continuous feedforward neural networks with only a single internal, hidden layer and any continuous sigmoidal nonlinearity. The paper discusses approximation properties of other possible types of nonlinearities that might be implemented by artificial neural networks.","DOI":"10.1007/BF02551274","ISSN":"0932-4194, 1435-568X","journalAbbreviation":"Math. Control Signal Systems","language":"en","author":[{"family":"Cybenko","given":"G."}],"issued":{"date-parts":[["1989",12,1]]}}}],"schema":"https://github.com/citation-style-language/schema/raw/master/csl-citation.json"} </w:instrText>
      </w:r>
      <w:r>
        <w:fldChar w:fldCharType="separate"/>
      </w:r>
      <w:r w:rsidRPr="00CF2235">
        <w:t>[26]</w:t>
      </w:r>
      <w:r>
        <w:fldChar w:fldCharType="end"/>
      </w:r>
      <w:r>
        <w:t xml:space="preserve"> proves that a type of neural network (ANN) which is equivalent to the superimposition of </w:t>
      </w:r>
      <w:r w:rsidR="00714D21">
        <w:t>multiple</w:t>
      </w:r>
      <w:r>
        <w:t xml:space="preserve"> sigmoidal functions, can be used as a near perfect approximator for arbitrary monotonic functions. Unfortunately, ANN methods do not easily take into account censoring as occurs in survival analysis. Random Forests (RF) Another well-known statistical learning method that can be thought of as universal function approximators </w:t>
      </w:r>
      <w:r>
        <w:fldChar w:fldCharType="begin"/>
      </w:r>
      <w:r w:rsidR="00B86B7A">
        <w:instrText xml:space="preserve"> ADDIN ZOTERO_ITEM CSL_CITATION {"citationID":"2fduvsj0sa","properties":{"formattedCitation":"[27]","plainCitation":"[27]"},"citationItems":[{"id":1111,"uris":["http://zotero.org/users/1980127/items/535ZXJWM"],"uri":["http://zotero.org/users/1980127/items/535ZXJWM"],"itemData":{"id":1111,"type":"article-journal","title":"Random Forests","container-title":"Machine Learning","page":"5-32","volume":"45","issue":"1","source":"link.springer.com","abstract":"Random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regression.","DOI":"10.1023/A:1010933404324","ISSN":"0885-6125, 1573-0565","journalAbbreviation":"Machine Learning","language":"en","author":[{"family":"Breiman","given":"Leo"}],"issued":{"date-parts":[["2001",10,1]]}}}],"schema":"https://github.com/citation-style-language/schema/raw/master/csl-citation.json"} </w:instrText>
      </w:r>
      <w:r>
        <w:fldChar w:fldCharType="separate"/>
      </w:r>
      <w:r w:rsidRPr="00CF2235">
        <w:t>[27]</w:t>
      </w:r>
      <w:r>
        <w:fldChar w:fldCharType="end"/>
      </w:r>
      <w:r>
        <w:t>. RF is a subset of a more general class of ensemble learning</w:t>
      </w:r>
      <w:r w:rsidR="00C53052">
        <w:rPr>
          <w:rStyle w:val="FootnoteReference"/>
        </w:rPr>
        <w:footnoteReference w:id="2"/>
      </w:r>
      <w:r>
        <w:t xml:space="preserve">  based techniques that iterate over combinations of base or weak learners with the resulting learner (the ensemble of the iterated base learners) having greater predictive power . While RF is generally used for regression and classification, </w:t>
      </w:r>
      <w:proofErr w:type="spellStart"/>
      <w:r>
        <w:t>Ishwaran</w:t>
      </w:r>
      <w:proofErr w:type="spellEnd"/>
      <w:r>
        <w:t xml:space="preserve"> et al. </w:t>
      </w:r>
      <w:r>
        <w:fldChar w:fldCharType="begin"/>
      </w:r>
      <w:r w:rsidR="00B86B7A">
        <w:instrText xml:space="preserve"> ADDIN ZOTERO_ITEM CSL_CITATION {"citationID":"kvgcj4ok0","properties":{"formattedCitation":"[28]","plainCitation":"[28]"},"citationItems":[{"id":854,"uris":["http://zotero.org/users/1980127/items/WB4HUMG3"],"uri":["http://zotero.org/users/1980127/items/WB4HUMG3"],"itemData":{"id":854,"type":"article-journal","title":"Random Survival Forests","container-title":"The Annals of Applied Statistics","page":"841-860","volume":"2","issue":"3","source":"JSTOR","abstract":"We introduce random survival forests, a random forests method for the analysis of right-censored survival data. New survival splitting rules for growing survival trees are introduced, as is a new missing data algorithm for imputing missing data. A conservation-of-events principle for survival forests is introduced and used to define ensemble mortality, a simple interpretable measure of mortality that can be used as a predicted outcome. Several illustrative examples are given, including a case study of the prognostic implications of body mass for individuals with coronary artery disease. Computations for all examples were implemented using the freely available R-software package, randomSurvivalForest.","ISSN":"1932-6157","journalAbbreviation":"The Annals of Applied Statistics","author":[{"family":"Ishwaran","given":"Hemant"},{"family":"Kogalur","given":"Udaya B."},{"family":"Blackstone","given":"Eugene H."},{"family":"Lauer","given":"Michael S."}],"issued":{"date-parts":[["2008",9,1]]}}}],"schema":"https://github.com/citation-style-language/schema/raw/master/csl-citation.json"} </w:instrText>
      </w:r>
      <w:r>
        <w:fldChar w:fldCharType="separate"/>
      </w:r>
      <w:r w:rsidRPr="00CF2235">
        <w:t>[28]</w:t>
      </w:r>
      <w:r>
        <w:fldChar w:fldCharType="end"/>
      </w:r>
      <w:r>
        <w:t xml:space="preserve"> have extended the technique specifically for use in survival analysis and is known as Random Survival Forests (RSF). In RFS, the splitting criterion used in growing a tree explicitly invokes survival time and censoring information. The effectiveness of a particular split is measured via the difference in survival expectation for inclusion in each of the new nodes below the split.</w:t>
      </w:r>
    </w:p>
    <w:p w:rsidR="005A4C7C" w:rsidRPr="005A4C7C" w:rsidRDefault="005A4C7C" w:rsidP="00FB28B4">
      <w:pPr>
        <w:pStyle w:val="Heading1"/>
      </w:pPr>
      <w:r>
        <w:t>Random Survival Forest</w:t>
      </w:r>
    </w:p>
    <w:p w:rsidR="00714D21" w:rsidRPr="00714D21" w:rsidRDefault="00714D21" w:rsidP="00FB28B4">
      <w:pPr>
        <w:pStyle w:val="Paragraph"/>
      </w:pPr>
      <w:r>
        <w:t xml:space="preserve">Random survival forest models have been used in a variety of health applications, including in studies on esophageal cancer </w:t>
      </w:r>
      <w:r>
        <w:fldChar w:fldCharType="begin"/>
      </w:r>
      <w:r w:rsidR="00B86B7A">
        <w:instrText xml:space="preserve"> ADDIN ZOTERO_ITEM CSL_CITATION {"citationID":"clsq42mp8","properties":{"formattedCitation":"[29]","plainCitation":"[29]"},"citationItems":[{"id":885,"uris":["http://zotero.org/users/1980127/items/GNWXZT46"],"uri":["http://zotero.org/users/1980127/items/GNWXZT46"],"itemData":{"id":885,"type":"article-journal","title":"Optimum Lymphadenectomy for Esophageal Cancer:","container-title":"Annals of Surgery","page":"46-50","volume":"251","issue":"1","source":"CrossRef","DOI":"10.1097/SLA.0b013e3181b2f6ee","ISSN":"0003-4932","shortTitle":"Optimum Lymphadenectomy for Esophageal Cancer","language":"en","author":[{"family":"Rizk","given":"Nabil P."},{"family":"Ishwaran","given":"Hemant"},{"family":"Rice","given":"Thomas W."},{"family":"Chen","given":"Long-Qi"},{"family":"Schipper","given":"Paul H."},{"family":"Kesler","given":"Kenneth A."},{"family":"Law","given":"Simon"},{"family":"Lerut","given":"Toni E. M. R."},{"family":"Reed","given":"Carolyn E."},{"family":"Salo","given":"Jarmo A."},{"family":"Scott","given":"Walter J."},{"family":"Hofstetter","given":"Wayne L."},{"family":"Watson","given":"Thomas J."},{"family":"Allen","given":"Mark S."},{"family":"Rusch","given":"Valerie W."},{"family":"Blackstone","given":"Eugene H."}],"issued":{"date-parts":[["2010",1]]}}}],"schema":"https://github.com/citation-style-language/schema/raw/master/csl-citation.json"} </w:instrText>
      </w:r>
      <w:r>
        <w:fldChar w:fldCharType="separate"/>
      </w:r>
      <w:r w:rsidRPr="00714D21">
        <w:rPr>
          <w:rFonts w:ascii="Calibri" w:hAnsi="Calibri"/>
        </w:rPr>
        <w:t>[29]</w:t>
      </w:r>
      <w:r>
        <w:fldChar w:fldCharType="end"/>
      </w:r>
      <w:r>
        <w:t xml:space="preserve">, as well as studies on patients with systolic heart failure </w:t>
      </w:r>
      <w:r>
        <w:fldChar w:fldCharType="begin"/>
      </w:r>
      <w:r w:rsidR="00B86B7A">
        <w:instrText xml:space="preserve"> ADDIN ZOTERO_ITEM CSL_CITATION {"citationID":"7ivbd40bn","properties":{"formattedCitation":"[30]","plainCitation":"[30]"},"citationItems":[{"id":675,"uris":["http://zotero.org/users/1980127/items/W3FEF3NZ"],"uri":["http://zotero.org/users/1980127/items/W3FEF3NZ"],"itemData":{"id":675,"type":"article-journal","title":"Identifying Important Risk Factors for Survival in Patient With Systolic Heart Failure Using Random Survival Forests","container-title":"Circulation: Cardiovascular Quality and Outcomes","page":"39-45","volume":"4","issue":"1","source":"CrossRef","DOI":"10.1161/CIRCOUTCOMES.110.939371","ISSN":"1941-7705, 1941-7713","language":"en","author":[{"family":"Hsich","given":"E."},{"family":"Gorodeski","given":"E. Z."},{"family":"Blackstone","given":"E. H."},{"family":"Ishwaran","given":"H."},{"family":"Lauer","given":"M. S."}],"issued":{"date-parts":[["2011",1,1]]}}}],"schema":"https://github.com/citation-style-language/schema/raw/master/csl-citation.json"} </w:instrText>
      </w:r>
      <w:r>
        <w:fldChar w:fldCharType="separate"/>
      </w:r>
      <w:r w:rsidRPr="00714D21">
        <w:rPr>
          <w:rFonts w:ascii="Calibri" w:hAnsi="Calibri"/>
        </w:rPr>
        <w:t>[30]</w:t>
      </w:r>
      <w:r>
        <w:fldChar w:fldCharType="end"/>
      </w:r>
      <w:r>
        <w:t xml:space="preserve"> and Fontan patients who undergo cardiopulmonary exercise testing </w:t>
      </w:r>
      <w:r>
        <w:fldChar w:fldCharType="begin"/>
      </w:r>
      <w:r w:rsidR="00B86B7A">
        <w:instrText xml:space="preserve"> ADDIN ZOTERO_ITEM CSL_CITATION {"citationID":"1sk0elg2am","properties":{"formattedCitation":"[31]","plainCitation":"[31]"},"citationItems":[{"id":623,"uris":["http://zotero.org/users/1980127/items/NSAZKPXW"],"uri":["http://zotero.org/users/1980127/items/NSAZKPXW"],"itemData":{"id":623,"type":"article-journal","title":"Predictors of morbidity and mortality in contemporary Fontan patients: results from a multicenter study including cardiopulmonary exercise testing in 321 patients","container-title":"European Heart Journal","page":"3073-3083","volume":"31","issue":"24","source":"CrossRef","DOI":"10.1093/eurheartj/ehq356","ISSN":"0195-668X, 1522-9645","shortTitle":"Predictors of morbidity and mortality in contemporary Fontan patients","language":"en","author":[{"family":"Diller","given":"G.-P."},{"family":"Giardini","given":"A."},{"family":"Dimopoulos","given":"K."},{"family":"Gargiulo","given":"G."},{"family":"Muller","given":"J."},{"family":"Derrick","given":"G."},{"family":"Giannakoulas","given":"G."},{"family":"Khambadkone","given":"S."},{"family":"Lammers","given":"A. E."},{"family":"Picchio","given":"F. M."},{"family":"Gatzoulis","given":"M. A."},{"family":"Hager","given":"A."}],"issued":{"date-parts":[["2010",12,2]]}}}],"schema":"https://github.com/citation-style-language/schema/raw/master/csl-citation.json"} </w:instrText>
      </w:r>
      <w:r>
        <w:fldChar w:fldCharType="separate"/>
      </w:r>
      <w:r w:rsidRPr="00714D21">
        <w:rPr>
          <w:rFonts w:ascii="Calibri" w:hAnsi="Calibri"/>
        </w:rPr>
        <w:t>[31]</w:t>
      </w:r>
      <w:r>
        <w:fldChar w:fldCharType="end"/>
      </w:r>
      <w:r>
        <w:t xml:space="preserve">. RSF models have even been used outside of the health domain in a credit risk </w:t>
      </w:r>
      <w:r>
        <w:lastRenderedPageBreak/>
        <w:t xml:space="preserve">management model for small medium enterprises </w:t>
      </w:r>
      <w:r w:rsidR="005A4C7C">
        <w:fldChar w:fldCharType="begin"/>
      </w:r>
      <w:r w:rsidR="00B86B7A">
        <w:instrText xml:space="preserve"> ADDIN ZOTERO_ITEM CSL_CITATION {"citationID":"2djlkjadnv","properties":{"formattedCitation":"[32]","plainCitation":"[32]"},"citationItems":[{"id":653,"uris":["http://zotero.org/users/1980127/items/3QUI7QI7"],"uri":["http://zotero.org/users/1980127/items/3QUI7QI7"],"itemData":{"id":653,"type":"article-journal","title":"Random Survival Forests Models for SME Credit Risk Measurement","container-title":"Methodology and Computing in Applied Probability","page":"29-45","volume":"11","issue":"1","source":"CrossRef","DOI":"10.1007/s11009-008-9078-2","ISSN":"1387-5841, 1573-7713","language":"en","author":[{"family":"Fantazzini","given":"Dean"},{"family":"Figini","given":"Silvia"}],"issued":{"date-parts":[["2009",3]]}}}],"schema":"https://github.com/citation-style-language/schema/raw/master/csl-citation.json"} </w:instrText>
      </w:r>
      <w:r w:rsidR="005A4C7C">
        <w:fldChar w:fldCharType="separate"/>
      </w:r>
      <w:r w:rsidR="005A4C7C" w:rsidRPr="005A4C7C">
        <w:rPr>
          <w:rFonts w:ascii="Calibri" w:hAnsi="Calibri"/>
        </w:rPr>
        <w:t>[32]</w:t>
      </w:r>
      <w:r w:rsidR="005A4C7C">
        <w:fldChar w:fldCharType="end"/>
      </w:r>
      <w:r>
        <w:t>. However, while random forest techniques have been used in a 30-day</w:t>
      </w:r>
      <w:r w:rsidR="005A4C7C">
        <w:t xml:space="preserve"> </w:t>
      </w:r>
      <w:r>
        <w:t xml:space="preserve">readmission setting previously </w:t>
      </w:r>
      <w:r w:rsidR="005A4C7C">
        <w:fldChar w:fldCharType="begin"/>
      </w:r>
      <w:r w:rsidR="00B86B7A">
        <w:instrText xml:space="preserve"> ADDIN ZOTERO_ITEM CSL_CITATION {"citationID":"234s05vp3o","properties":{"formattedCitation":"[33]","plainCitation":"[33]"},"citationItems":[{"id":947,"uris":["http://zotero.org/users/1980127/items/EIWHC7DN"],"uri":["http://zotero.org/users/1980127/items/EIWHC7DN"],"itemData":{"id":947,"type":"paper-conference","title":"Random Forests on Ubiquitous Data for Heart Failure 30-Day Readmissions Prediction","publisher":"IEEE","page":"415-421","source":"CrossRef","URL":"http://ieeexplore.ieee.org/lpdocs/epic03/wrapper.htm?arnumber=6786145","DOI":"10.1109/ICMLA.2013.158","ISBN":"978-0-7695-5144-9","author":[{"family":"Vedomske","given":"Michael A."},{"family":"Brown","given":"Donald E."},{"family":"Harrison","given":"James H."}],"issued":{"date-parts":[["2013",12]]},"accessed":{"date-parts":[["2015",11,4]]}}}],"schema":"https://github.com/citation-style-language/schema/raw/master/csl-citation.json"} </w:instrText>
      </w:r>
      <w:r w:rsidR="005A4C7C">
        <w:fldChar w:fldCharType="separate"/>
      </w:r>
      <w:r w:rsidR="005A4C7C" w:rsidRPr="005A4C7C">
        <w:rPr>
          <w:rFonts w:ascii="Calibri" w:hAnsi="Calibri"/>
        </w:rPr>
        <w:t>[33]</w:t>
      </w:r>
      <w:r w:rsidR="005A4C7C">
        <w:fldChar w:fldCharType="end"/>
      </w:r>
      <w:r>
        <w:t xml:space="preserve">, random survival forest techniques had </w:t>
      </w:r>
      <w:proofErr w:type="spellStart"/>
      <w:r>
        <w:t>notbeen</w:t>
      </w:r>
      <w:proofErr w:type="spellEnd"/>
      <w:r>
        <w:t xml:space="preserve"> applied to a 30-day readmission problem. In this paper, we apply RSF</w:t>
      </w:r>
      <w:r w:rsidR="005A4C7C">
        <w:t xml:space="preserve"> </w:t>
      </w:r>
      <w:r>
        <w:t xml:space="preserve">models to the 30-day readmission setting, using the </w:t>
      </w:r>
      <w:proofErr w:type="spellStart"/>
      <w:r>
        <w:t>randomForestSRC</w:t>
      </w:r>
      <w:proofErr w:type="spellEnd"/>
      <w:r>
        <w:t xml:space="preserve"> package</w:t>
      </w:r>
      <w:r w:rsidR="005A4C7C">
        <w:t xml:space="preserve"> </w:t>
      </w:r>
      <w:r>
        <w:t xml:space="preserve">in R </w:t>
      </w:r>
      <w:r w:rsidR="005A4C7C">
        <w:fldChar w:fldCharType="begin"/>
      </w:r>
      <w:r w:rsidR="00B86B7A">
        <w:instrText xml:space="preserve"> ADDIN ZOTERO_ITEM CSL_CITATION {"citationID":"1kqct14846","properties":{"formattedCitation":"[34]","plainCitation":"[34]"},"citationItems":[{"id":694,"uris":["http://zotero.org/users/1980127/items/P4ASTQAZ"],"uri":["http://zotero.org/users/1980127/items/P4ASTQAZ"],"itemData":{"id":694,"type":"article-journal","title":"Random Survival Forests for R","container-title":"R News","page":"25-31","volume":"7","issue":"2","author":[{"family":"Ishwaran","given":"Hemant"},{"family":"Kogalur","given":"Udaya B."}],"issued":{"date-parts":[["2007",10]]}}}],"schema":"https://github.com/citation-style-language/schema/raw/master/csl-citation.json"} </w:instrText>
      </w:r>
      <w:r w:rsidR="005A4C7C">
        <w:fldChar w:fldCharType="separate"/>
      </w:r>
      <w:r w:rsidR="005A4C7C" w:rsidRPr="005A4C7C">
        <w:rPr>
          <w:rFonts w:ascii="Calibri" w:hAnsi="Calibri"/>
        </w:rPr>
        <w:t>[34]</w:t>
      </w:r>
      <w:r w:rsidR="005A4C7C">
        <w:fldChar w:fldCharType="end"/>
      </w:r>
      <w:r>
        <w:t>.</w:t>
      </w:r>
    </w:p>
    <w:p w:rsidR="00714D21" w:rsidRPr="00FF7E0C" w:rsidRDefault="005A4C7C" w:rsidP="00FB28B4">
      <w:pPr>
        <w:pStyle w:val="Heading1"/>
      </w:pPr>
      <w:r>
        <w:t>Model D</w:t>
      </w:r>
      <w:r w:rsidR="00714D21">
        <w:t>evelopment, Tra</w:t>
      </w:r>
      <w:r>
        <w:t>ining and T</w:t>
      </w:r>
      <w:r w:rsidR="00714D21">
        <w:t>esting</w:t>
      </w:r>
    </w:p>
    <w:p w:rsidR="00714D21" w:rsidRDefault="00714D21" w:rsidP="00FB28B4">
      <w:pPr>
        <w:pStyle w:val="Paragraph"/>
      </w:pPr>
      <w:r w:rsidRPr="00714D21">
        <w:t xml:space="preserve">A Random Survival Forest (RSF) was developed using the techniques outlined by </w:t>
      </w:r>
      <w:proofErr w:type="spellStart"/>
      <w:r w:rsidRPr="00714D21">
        <w:t>Ishwaran</w:t>
      </w:r>
      <w:proofErr w:type="spellEnd"/>
      <w:r w:rsidRPr="00714D21">
        <w:t xml:space="preserve"> et al. [12]. The initial data was split into training and test sets of 7,095 and 2,366 respectively. The parameters that can be controlled when using the particular implementation of RSF [13] include; number of trees constructed (</w:t>
      </w:r>
      <w:proofErr w:type="spellStart"/>
      <w:r w:rsidRPr="00714D21">
        <w:t>ntree</w:t>
      </w:r>
      <w:proofErr w:type="spellEnd"/>
      <w:r w:rsidRPr="00714D21">
        <w:t>), number of candidate features to try at each split (</w:t>
      </w:r>
      <w:proofErr w:type="spellStart"/>
      <w:r w:rsidRPr="00714D21">
        <w:t>ntry</w:t>
      </w:r>
      <w:proofErr w:type="spellEnd"/>
      <w:r w:rsidRPr="00714D21">
        <w:t>), minimum number of cases in a terminal node (</w:t>
      </w:r>
      <w:proofErr w:type="spellStart"/>
      <w:r w:rsidRPr="00714D21">
        <w:t>nodesize</w:t>
      </w:r>
      <w:proofErr w:type="spellEnd"/>
      <w:r w:rsidRPr="00714D21">
        <w:t>), the maximum depth of any</w:t>
      </w:r>
      <w:r>
        <w:t xml:space="preserve"> </w:t>
      </w:r>
      <w:r w:rsidRPr="00714D21">
        <w:t>tree (</w:t>
      </w:r>
      <w:proofErr w:type="spellStart"/>
      <w:r w:rsidRPr="00714D21">
        <w:t>nodedepth</w:t>
      </w:r>
      <w:proofErr w:type="spellEnd"/>
      <w:r w:rsidRPr="00714D21">
        <w:t>), and the splitting rule (</w:t>
      </w:r>
      <w:proofErr w:type="spellStart"/>
      <w:r w:rsidRPr="00714D21">
        <w:t>splitrule</w:t>
      </w:r>
      <w:proofErr w:type="spellEnd"/>
      <w:r w:rsidRPr="00714D21">
        <w:t>).</w:t>
      </w:r>
    </w:p>
    <w:p w:rsidR="00A62EC0" w:rsidRDefault="00A62EC0" w:rsidP="00FB28B4">
      <w:pPr>
        <w:pStyle w:val="Paragraph"/>
      </w:pPr>
      <w:r>
        <w:t>Features in the final model are of two forms; simple and derived (engineered). Simple features are directly related to attributes in the data set</w:t>
      </w:r>
      <w:r>
        <w:rPr>
          <w:rStyle w:val="FootnoteReference"/>
        </w:rPr>
        <w:footnoteReference w:id="3"/>
      </w:r>
      <w:r>
        <w:t xml:space="preserve"> . Derived features are generated through, sometimes complex, combinations and transformations of attributes in the data set. Features fell into several broad categories;</w:t>
      </w:r>
    </w:p>
    <w:p w:rsidR="00755AF7" w:rsidRDefault="00FB28B4" w:rsidP="00A62EC0">
      <w:pPr>
        <w:rPr>
          <w:lang w:eastAsia="en-GB"/>
        </w:rPr>
      </w:pPr>
      <w:r>
        <w:rPr>
          <w:b/>
          <w:lang w:eastAsia="en-GB"/>
        </w:rPr>
        <w:br/>
      </w:r>
      <w:r w:rsidR="00A62EC0" w:rsidRPr="00755AF7">
        <w:rPr>
          <w:b/>
          <w:lang w:eastAsia="en-GB"/>
        </w:rPr>
        <w:t>Demographic:</w:t>
      </w:r>
      <w:r w:rsidR="00A62EC0">
        <w:rPr>
          <w:lang w:eastAsia="en-GB"/>
        </w:rPr>
        <w:t xml:space="preserve"> Age, gender and race.</w:t>
      </w:r>
    </w:p>
    <w:p w:rsidR="00A62EC0" w:rsidRDefault="00A62EC0" w:rsidP="00FB28B4">
      <w:pPr>
        <w:pStyle w:val="Paragraph"/>
      </w:pPr>
      <w:r w:rsidRPr="00755AF7">
        <w:rPr>
          <w:b/>
        </w:rPr>
        <w:t>Socioeconomic</w:t>
      </w:r>
      <w:r>
        <w:t xml:space="preserve">: </w:t>
      </w:r>
      <w:r w:rsidR="00755AF7">
        <w:t xml:space="preserve">As described earlier, </w:t>
      </w:r>
      <w:proofErr w:type="gramStart"/>
      <w:r w:rsidR="00755AF7">
        <w:t>these</w:t>
      </w:r>
      <w:proofErr w:type="gramEnd"/>
      <w:r w:rsidR="00755AF7">
        <w:t xml:space="preserve"> included US Census based measures of median income and education as well as county based health statistics.</w:t>
      </w:r>
    </w:p>
    <w:p w:rsidR="00755AF7" w:rsidRDefault="00755AF7" w:rsidP="00FB28B4">
      <w:pPr>
        <w:pStyle w:val="Paragraph"/>
      </w:pPr>
      <w:r w:rsidRPr="00755AF7">
        <w:rPr>
          <w:b/>
        </w:rPr>
        <w:t>Access to Care:</w:t>
      </w:r>
      <w:r>
        <w:t xml:space="preserve"> With the location information, it was also possible to create several features used as surrogates for ease of access to care such as; distance  to PCP, distance to admitting facility. For spells covering multiple claims and multiple facilities, the distance to the initial admitting facility was used, density of care providers within zip-code.</w:t>
      </w:r>
    </w:p>
    <w:p w:rsidR="00755AF7" w:rsidRDefault="00755AF7" w:rsidP="00755AF7">
      <w:pPr>
        <w:rPr>
          <w:lang w:eastAsia="en-GB"/>
        </w:rPr>
      </w:pPr>
      <w:r w:rsidRPr="00755AF7">
        <w:rPr>
          <w:b/>
          <w:lang w:eastAsia="en-GB"/>
        </w:rPr>
        <w:t>Care Process</w:t>
      </w:r>
      <w:proofErr w:type="gramStart"/>
      <w:r w:rsidRPr="00755AF7">
        <w:rPr>
          <w:b/>
          <w:lang w:eastAsia="en-GB"/>
        </w:rPr>
        <w:t>:</w:t>
      </w:r>
      <w:proofErr w:type="gramEnd"/>
      <w:r w:rsidR="00FB28B4">
        <w:rPr>
          <w:b/>
          <w:lang w:eastAsia="en-GB"/>
        </w:rPr>
        <w:br/>
      </w:r>
      <w:r w:rsidRPr="00755AF7">
        <w:rPr>
          <w:i/>
          <w:lang w:eastAsia="en-GB"/>
        </w:rPr>
        <w:t>Admission Type</w:t>
      </w:r>
      <w:r>
        <w:rPr>
          <w:lang w:eastAsia="en-GB"/>
        </w:rPr>
        <w:t>: Emergency, Urgent, Elective, Trauma Center, Unknown</w:t>
      </w:r>
      <w:r w:rsidR="00FB28B4">
        <w:rPr>
          <w:lang w:eastAsia="en-GB"/>
        </w:rPr>
        <w:br/>
      </w:r>
      <w:r w:rsidRPr="00755AF7">
        <w:rPr>
          <w:i/>
          <w:lang w:eastAsia="en-GB"/>
        </w:rPr>
        <w:t>Admission Source:</w:t>
      </w:r>
      <w:r>
        <w:rPr>
          <w:lang w:eastAsia="en-GB"/>
        </w:rPr>
        <w:t xml:space="preserve"> Physician referral, Clinic referral, HMO referral, Transfer from Other Hospital, Transfer SNF, Transfer Emergency room, Transfer ASC, Transfer Hospice.</w:t>
      </w:r>
      <w:r w:rsidR="00FB28B4">
        <w:rPr>
          <w:lang w:eastAsia="en-GB"/>
        </w:rPr>
        <w:br/>
      </w:r>
      <w:proofErr w:type="gramStart"/>
      <w:r w:rsidRPr="00755AF7">
        <w:rPr>
          <w:i/>
          <w:lang w:eastAsia="en-GB"/>
        </w:rPr>
        <w:t>Transition / Discharge Patterns.</w:t>
      </w:r>
      <w:proofErr w:type="gramEnd"/>
      <w:r>
        <w:rPr>
          <w:lang w:eastAsia="en-GB"/>
        </w:rPr>
        <w:t xml:space="preserve"> Coding from the original CCLF data files provides 33 codes for patient disposition upon discharge </w:t>
      </w:r>
      <w:r>
        <w:rPr>
          <w:lang w:eastAsia="en-GB"/>
        </w:rPr>
        <w:fldChar w:fldCharType="begin"/>
      </w:r>
      <w:r w:rsidR="00B86B7A">
        <w:rPr>
          <w:lang w:eastAsia="en-GB"/>
        </w:rPr>
        <w:instrText xml:space="preserve"> ADDIN ZOTERO_ITEM CSL_CITATION {"citationID":"7h9dv9l4m","properties":{"formattedCitation":"[13]","plainCitation":"[13]"},"citationItems":[{"id":1118,"uris":["http://zotero.org/users/1980127/items/NF785D8N"],"uri":["http://zotero.org/users/1980127/items/NF785D8N"],"itemData":{"id":1118,"type":"report","title":"Accountable Care Organization – Operational System (ACO-OS) Claim and Claim Line Feed (CCLF) Information Packet (IP) – June Release","publisher":"Centers for Medicare &amp; Medicaid Services","page":"91","abstract":"The purpose of this information packet is to provide instructions for basic operations in the Accountable Care Organization (ACO) Program Claim and Claim Line Feed (CCLF).\nThe ACOs will request that the Centers for Medicare &amp; Medicaid Services (CMS) gather a data feed for beneficiaries who have been notified of the possibility for data sharing and who have not declined to allow CMS to share their claims data with the ACO. The data feed provided to the ACO will include claims for all services covered by Part A (Hospital Insurance) and Part B (Supplemental Medical Insurance) that were provided to beneficiaries who agreed to data sharing and were processed during the prior month. Claims data will also include prescriptions covered by a Prescription Drug Program in which the beneficiary is enrolled. Medicare Claims are submitted by a broad range of facilities (institutional providers), professionals, and suppliers, including hospitals (both inpatient and outpatient claims); physicians; home health agencies (HHA); skilled nursing facilities (SNFs); hospices; and durable medical equipment, prosthetics, orthotics, and supplies (DMEPOS) providers. Some of these provide services that are covered by Part A and/or Part B (e.g., hospitals and SNFs); others provide services that are covered only by Part B.\nMedicare Administrative Contractors (MAC) (formerly Fiscal Intermediaries [FI] and Carriers) are responsible for processing Medicare claims. Different payment methods and claims processing systems are used depending upon the type of facility where services are received. For example, the inpatient prospective payment system (IPPS) is used to price acute hospital inpatient services, the Physician Fee Schedule is used to price physician office visits, and the outpatient prospective payment system (OPPS) is used to price outpatient services received in an outpatient setting. Medicare claims processing entities are responsible for following the rules of the various payment systems and pricing the claims.\nThe data files the ACOs will receive consist of four Part A files, two Part B files, one Part D file, one beneficiary demographics file, and one beneficiary Health Insurance Claim Number (HICN) cross-reference file. These files are described in Section 2: Structure and Content. For Pioneer ACOs, the Alignment Report, which provides identifying information (including names and contact information) for each of the ACO’s assigned beneficiaries, is an important source of information that will be used in conjunction with the data contained in these files","number":"NGC.ICDA.0301.04.0.0713","shortTitle":"Claim and Claim Line Feed (CCLF) Information Packet (IP)","language":"English","author":[{"literal":"Northrup Grumman Corporation Information Systems"}],"issued":{"date-parts":[["2013",7,29]]}}}],"schema":"https://github.com/citation-style-language/schema/raw/master/csl-citation.json"} </w:instrText>
      </w:r>
      <w:r>
        <w:rPr>
          <w:lang w:eastAsia="en-GB"/>
        </w:rPr>
        <w:fldChar w:fldCharType="separate"/>
      </w:r>
      <w:r w:rsidRPr="00755AF7">
        <w:rPr>
          <w:rFonts w:ascii="Calibri" w:hAnsi="Calibri"/>
        </w:rPr>
        <w:t>[13]</w:t>
      </w:r>
      <w:r>
        <w:rPr>
          <w:lang w:eastAsia="en-GB"/>
        </w:rPr>
        <w:fldChar w:fldCharType="end"/>
      </w:r>
      <w:r>
        <w:rPr>
          <w:lang w:eastAsia="en-GB"/>
        </w:rPr>
        <w:t>. When there are multiple claims within a spell of care, the sequence of discharge codes describes a sequence of transitions. Nineteen distinct sequences were observed with 67% limited to a single transition, 18% included two transitions, 9% involved three transitions, and 6% involved four or more transitions. The largest number of transitions for a single patient spell was 14. It should be noted that many of these transitions were not care related and could be attributed to billing cycles and other administrative procedural issues. In addition to coding the patterns of transition, a simple count was also included in the model.</w:t>
      </w:r>
      <w:r w:rsidR="00FB28B4">
        <w:rPr>
          <w:lang w:eastAsia="en-GB"/>
        </w:rPr>
        <w:br/>
      </w:r>
      <w:r w:rsidRPr="00755AF7">
        <w:rPr>
          <w:i/>
          <w:lang w:eastAsia="en-GB"/>
        </w:rPr>
        <w:t>Length of Spell (</w:t>
      </w:r>
      <w:proofErr w:type="spellStart"/>
      <w:r w:rsidRPr="00755AF7">
        <w:rPr>
          <w:i/>
          <w:lang w:eastAsia="en-GB"/>
        </w:rPr>
        <w:t>LOSp</w:t>
      </w:r>
      <w:proofErr w:type="spellEnd"/>
      <w:r w:rsidRPr="00755AF7">
        <w:rPr>
          <w:i/>
          <w:lang w:eastAsia="en-GB"/>
        </w:rPr>
        <w:t>):</w:t>
      </w:r>
      <w:r>
        <w:rPr>
          <w:lang w:eastAsia="en-GB"/>
        </w:rPr>
        <w:t xml:space="preserve"> This was calculated as the total time elapsed (in days) from the beginning of the patients care spell to the end. In addition, the length of stay for each episode was tracked and the ratio of </w:t>
      </w:r>
      <w:proofErr w:type="spellStart"/>
      <w:r>
        <w:rPr>
          <w:lang w:eastAsia="en-GB"/>
        </w:rPr>
        <w:t>LOSp</w:t>
      </w:r>
      <w:proofErr w:type="spellEnd"/>
      <w:r>
        <w:rPr>
          <w:lang w:eastAsia="en-GB"/>
        </w:rPr>
        <w:t xml:space="preserve"> to average episode </w:t>
      </w:r>
      <w:r w:rsidRPr="00755AF7">
        <w:rPr>
          <w:lang w:eastAsia="en-GB"/>
        </w:rPr>
        <w:t xml:space="preserve">duration was calculated and used as a feature. When a spell includes only one episode, this value is 1. When there were multiple episodes/claims within a single spell and that spell is long in duration, this value is greater than one. For the patient with 14 episodes within a single spell, the overall </w:t>
      </w:r>
      <w:proofErr w:type="spellStart"/>
      <w:r w:rsidRPr="00755AF7">
        <w:rPr>
          <w:lang w:eastAsia="en-GB"/>
        </w:rPr>
        <w:t>LOSp</w:t>
      </w:r>
      <w:proofErr w:type="spellEnd"/>
      <w:r w:rsidRPr="00755AF7">
        <w:rPr>
          <w:lang w:eastAsia="en-GB"/>
        </w:rPr>
        <w:t xml:space="preserve"> was 87 days and the average length of within spell episode was 4.3 resulting in a ratio of 20.2.</w:t>
      </w:r>
    </w:p>
    <w:p w:rsidR="00755AF7" w:rsidRDefault="00755AF7" w:rsidP="00FB28B4">
      <w:pPr>
        <w:pStyle w:val="Paragraph"/>
      </w:pPr>
      <w:r w:rsidRPr="00777368">
        <w:lastRenderedPageBreak/>
        <w:t xml:space="preserve">Medical Condition: </w:t>
      </w:r>
      <w:r>
        <w:t>This category of features included those derived from ICD-9 codes and is the focus of the remainder of this discussion</w:t>
      </w:r>
    </w:p>
    <w:p w:rsidR="00755AF7" w:rsidRPr="00714D21" w:rsidRDefault="00755AF7" w:rsidP="00A62EC0">
      <w:pPr>
        <w:rPr>
          <w:lang w:eastAsia="en-GB"/>
        </w:rPr>
      </w:pPr>
    </w:p>
    <w:p w:rsidR="005F34C6" w:rsidRDefault="005F34C6" w:rsidP="00FB28B4">
      <w:pPr>
        <w:pStyle w:val="Heading1"/>
      </w:pPr>
      <w:r>
        <w:t>Feature Engineering</w:t>
      </w:r>
      <w:r w:rsidR="003E4954">
        <w:t xml:space="preserve"> of ICD–9 Encoded Attributes</w:t>
      </w:r>
    </w:p>
    <w:p w:rsidR="000E28C0" w:rsidRDefault="005F34C6" w:rsidP="00FB28B4">
      <w:pPr>
        <w:pStyle w:val="Paragraph"/>
      </w:pPr>
      <w:r>
        <w:t>Feature engineering, or the process of deriving features in a model from a large number of base dimensions, reduces model complexity while preserving the information value of that data. Anderson et al. provide a useful background into the importance of feature engineering, explaining common problems associated with it</w:t>
      </w:r>
      <w:r w:rsidR="00924715">
        <w:t xml:space="preserve"> </w:t>
      </w:r>
      <w:r w:rsidR="00924715">
        <w:fldChar w:fldCharType="begin"/>
      </w:r>
      <w:r w:rsidR="00B86B7A">
        <w:instrText xml:space="preserve"> ADDIN ZOTERO_ITEM CSL_CITATION {"citationID":"ga5m6qdb6","properties":{"formattedCitation":"[21]","plainCitation":"[21]"},"citationItems":[{"id":221,"uris":["http://zotero.org/users/1980127/items/XNT7GD4H"],"uri":["http://zotero.org/users/1980127/items/XNT7GD4H"],"itemData":{"id":221,"type":"paper-conference","title":"Brainwash: A Data System for Feature Engineering.","container-title":"CIDR","source":"Google Scholar","URL":"http://cidrdb.org/cidr2013/Papers/CIDR13_Paper82.pdf","shortTitle":"Brainwash","author":[{"family":"Anderson","given":"Michael"},{"family":"Antenucci","given":"Dolan"},{"family":"Bittorf","given":"Victor"},{"family":"Burgess","given":"Matthew"},{"family":"Cafarella","given":"Michael J."},{"family":"Kumar","given":"Arun"},{"family":"Niu","given":"Feng"},{"family":"Park","given":"Yongjoo"},{"family":"Ré","given":"Christopher"},{"family":"Zhang","given":"Ce"}],"issued":{"date-parts":[["2013"]]},"accessed":{"date-parts":[["2015",8,11]]}}}],"schema":"https://github.com/citation-style-language/schema/raw/master/csl-citation.json"} </w:instrText>
      </w:r>
      <w:r w:rsidR="00924715">
        <w:fldChar w:fldCharType="separate"/>
      </w:r>
      <w:r w:rsidR="00924715" w:rsidRPr="00924715">
        <w:t>[21]</w:t>
      </w:r>
      <w:r w:rsidR="00924715">
        <w:fldChar w:fldCharType="end"/>
      </w:r>
      <w:r w:rsidR="00924715">
        <w:t>.</w:t>
      </w:r>
      <w:r>
        <w:t xml:space="preserve"> </w:t>
      </w:r>
      <w:proofErr w:type="spellStart"/>
      <w:r>
        <w:t>Guyon</w:t>
      </w:r>
      <w:proofErr w:type="spellEnd"/>
      <w:r>
        <w:t xml:space="preserve"> and </w:t>
      </w:r>
      <w:proofErr w:type="spellStart"/>
      <w:r>
        <w:t>Elissee</w:t>
      </w:r>
      <w:proofErr w:type="spellEnd"/>
      <w:r>
        <w:t xml:space="preserve"> present a strong overview of feature selection, detailing the process of selecting variables and explaining its usefulness in machine learning applications </w:t>
      </w:r>
      <w:r w:rsidR="00924715">
        <w:fldChar w:fldCharType="begin"/>
      </w:r>
      <w:r w:rsidR="00B86B7A">
        <w:instrText xml:space="preserve"> ADDIN ZOTERO_ITEM CSL_CITATION {"citationID":"1s9mhku825","properties":{"formattedCitation":"[35]","plainCitation":"[35]"},"citationItems":[{"id":208,"uris":["http://zotero.org/users/1980127/items/KI5F2A7A"],"uri":["http://zotero.org/users/1980127/items/KI5F2A7A"],"itemData":{"id":208,"type":"article-journal","title":"An introduction to variable and feature selection","container-title":"The Journal of Machine Learning Research","page":"1157–1182","volume":"3","source":"Google Scholar","author":[{"family":"Guyon","given":"Isabelle"},{"family":"Elisseeff","given":"André"}],"issued":{"date-parts":[["2003"]]}}}],"schema":"https://github.com/citation-style-language/schema/raw/master/csl-citation.json"} </w:instrText>
      </w:r>
      <w:r w:rsidR="00924715">
        <w:fldChar w:fldCharType="separate"/>
      </w:r>
      <w:r w:rsidR="005A4C7C" w:rsidRPr="005A4C7C">
        <w:t>[35]</w:t>
      </w:r>
      <w:r w:rsidR="00924715">
        <w:fldChar w:fldCharType="end"/>
      </w:r>
      <w:r>
        <w:t>.</w:t>
      </w:r>
      <w:r w:rsidR="003E4954">
        <w:t xml:space="preserve"> </w:t>
      </w:r>
      <w:r>
        <w:t xml:space="preserve"> Inpatient admission diagnoses, which are provided as ICD-9 codes in the CMS claims data, are high dimensionality attributes which are candidates for </w:t>
      </w:r>
      <w:r w:rsidR="00924715">
        <w:t>feature engineering.</w:t>
      </w:r>
      <w:r w:rsidR="003E4954">
        <w:t xml:space="preserve"> </w:t>
      </w:r>
      <w:r w:rsidR="0067711A">
        <w:t xml:space="preserve">ICD-9-CM codes for diagnoses and procedures have seen ubiquitous use in the development of models predicting patient outcomes. Unfortunately, these codes do not have an intrinsic scale or basis and combining multiple codes in a meaningful way is left to the user. </w:t>
      </w:r>
      <w:r w:rsidR="00C31432">
        <w:t xml:space="preserve">Dozens of individual codes may be associated with </w:t>
      </w:r>
      <w:r w:rsidR="00A62EC0">
        <w:t xml:space="preserve">a single patient encounter, some more relevant to interpreting the </w:t>
      </w:r>
      <w:r w:rsidR="00755AF7">
        <w:t>patient’s</w:t>
      </w:r>
      <w:r w:rsidR="00A62EC0">
        <w:t xml:space="preserve"> condition, and potential outcomes, than others. There is nothing inherent in the coding system to distinguish the important codes from the others, which is often dependent on the context of the patient’s condition. </w:t>
      </w:r>
      <w:r w:rsidR="0067711A">
        <w:t xml:space="preserve">A number of scoring systems that combine multiple codes as observed for a single patient have been develop such as the comorbidity index of </w:t>
      </w:r>
      <w:proofErr w:type="spellStart"/>
      <w:r w:rsidR="0067711A">
        <w:t>Deyo</w:t>
      </w:r>
      <w:proofErr w:type="spellEnd"/>
      <w:r w:rsidR="0067711A">
        <w:t xml:space="preserve"> et al. </w:t>
      </w:r>
      <w:r w:rsidR="0067711A">
        <w:fldChar w:fldCharType="begin"/>
      </w:r>
      <w:r w:rsidR="00B86B7A">
        <w:instrText xml:space="preserve"> ADDIN ZOTERO_ITEM CSL_CITATION {"citationID":"1nm988n33k","properties":{"formattedCitation":"[36]","plainCitation":"[36]"},"citationItems":[{"id":988,"uris":["http://zotero.org/users/1980127/items/TPBGC966"],"uri":["http://zotero.org/users/1980127/items/TPBGC966"],"itemData":{"id":988,"type":"article-journal","title":"Adapting a clinical comorbidity index for use with ICD-9-CM administrative databases","container-title":"Journal of Clinical Epidemiology","page":"613 - 619","volume":"45","issue":"6","abstract":"Administrative databases are increasingly used for studying outcomes of medical care. Valid inferences from such data require the ability to account for disease severity and comorbid conditions. We adapted a clinical comorbidity index, designed for use with medical records, for research relying on International Classification of Diseases (ICD-9-CM) diagnosis and procedure codes. The association of this adapted index with health outcomes and resource use was then examined with a sample of Medicare beneficiaries who underwent lumbar spine surgery in 1985 (n = 27,111). The index was associated in the expected direction with postoperative complications, mortality, blood transfusion, discharge to nursing home, length of hospital stay,and hospital charges. These associations were observed whether the index incorporated data from multiple hospitalizations over a year's time, or just from the index surgical admission. They also persisted after controlling for patient age. We conclude that the adapted comorbidity index will be useful in studies of disease outcome and resource use employing administrative databases.","DOI":"http://dx.doi.org/10.1016/0895-4356(92)90133-8","ISSN":"0895-4356","author":[{"literal":"Richard A. Deyo"},{"literal":"Daniel C. Cherkin"},{"literal":"Marcia A. Ciol"}],"issued":{"date-parts":[["1992"]]}}}],"schema":"https://github.com/citation-style-language/schema/raw/master/csl-citation.json"} </w:instrText>
      </w:r>
      <w:r w:rsidR="0067711A">
        <w:fldChar w:fldCharType="separate"/>
      </w:r>
      <w:r w:rsidR="0067711A" w:rsidRPr="0067711A">
        <w:t>[36]</w:t>
      </w:r>
      <w:r w:rsidR="0067711A">
        <w:fldChar w:fldCharType="end"/>
      </w:r>
      <w:r w:rsidR="0067711A">
        <w:t>. These scoring systems rely on human experience</w:t>
      </w:r>
      <w:r w:rsidR="00A62EC0">
        <w:t xml:space="preserve"> weighted through statistical modeling against known outcomes, and</w:t>
      </w:r>
      <w:r w:rsidR="0067711A">
        <w:t xml:space="preserve"> can fairly described as “expert systems” and as such are limited to the combinations examined by these experts</w:t>
      </w:r>
      <w:r w:rsidR="00A62EC0">
        <w:t>.</w:t>
      </w:r>
    </w:p>
    <w:p w:rsidR="00777368" w:rsidRDefault="00777368" w:rsidP="00FB28B4">
      <w:pPr>
        <w:pStyle w:val="Paragraph"/>
      </w:pPr>
      <w:r>
        <w:t>There are several ways in which the multiple diagnoses codes could be combined in a “context free” manner, that is without regard as to the meaning or interpretability of each code, from simply directly combining the codes into single strings which are then recoded as a categorical feature or factor. For example</w:t>
      </w:r>
      <w:r w:rsidR="00B86B7A">
        <w:t xml:space="preserve"> a patient with the codes “572.3” and “249.10” would be coded as “572.3:249.10”, if sorted descending prior to combination. This results in some 943 unique combinations in the data set used. The resulting “dummy” variable matrix is extremely sparse and provides little additional predictive power to the basic model. By taking into account the sequence in which the diagnoses were rendered, additional temporal information can be captured. Directed graphs are one way in which event and sequence information can be simultaneous coded. We adapted a technique initially proposed by Liu et al. </w:t>
      </w:r>
      <w:r w:rsidR="00B86B7A">
        <w:fldChar w:fldCharType="begin"/>
      </w:r>
      <w:r w:rsidR="00B86B7A">
        <w:instrText xml:space="preserve"> ADDIN ZOTERO_ITEM CSL_CITATION {"citationID":"1m32at88c2","properties":{"formattedCitation":"[37]","plainCitation":"[37]"},"citationItems":[{"id":538,"uris":["http://zotero.org/users/1980127/items/UEQPFBPJ"],"uri":["http://zotero.org/users/1980127/items/UEQPFBPJ"],"itemData":{"id":538,"type":"paper-conference","title":"Temporal skeletonization on sequential data: patterns, categorization, and visualization","publisher":"ACM Press","page":"1336-1345","source":"CrossRef","URL":"http://dl.acm.org/citation.cfm?doid=2623330.2623741","DOI":"10.1145/2623330.2623741","ISBN":"978-1-4503-2956-9","shortTitle":"Temporal skeletonization on sequential data","language":"en","author":[{"family":"Liu","given":"Chuanren"},{"family":"Zhang","given":"Kai"},{"family":"Xiong","given":"Hui"},{"family":"Jiang","given":"Geoff"},{"family":"Yang","given":"Qiang"}],"issued":{"date-parts":[["2014"]]},"accessed":{"date-parts":[["2015",10,30]]}}}],"schema":"https://github.com/citation-style-language/schema/raw/master/csl-citation.json"} </w:instrText>
      </w:r>
      <w:r w:rsidR="00B86B7A">
        <w:fldChar w:fldCharType="separate"/>
      </w:r>
      <w:r w:rsidR="00B86B7A" w:rsidRPr="00B86B7A">
        <w:t>[37]</w:t>
      </w:r>
      <w:r w:rsidR="00B86B7A">
        <w:fldChar w:fldCharType="end"/>
      </w:r>
      <w:r w:rsidR="00B86B7A">
        <w:t xml:space="preserve"> for encoding the sequentially rendered diagnoses codes. Technical details of the method can be found in Liu et al. 2014.</w:t>
      </w:r>
    </w:p>
    <w:p w:rsidR="00B86B7A" w:rsidRDefault="00B86B7A" w:rsidP="00FB28B4">
      <w:pPr>
        <w:pStyle w:val="Paragraph"/>
      </w:pPr>
      <w:r>
        <w:t>Adding</w:t>
      </w:r>
      <w:r w:rsidR="005E6D91">
        <w:t xml:space="preserve"> the sequentially information actually increases (as one would expect) the dimensionality of the derived ICD-9 feature such that there were 4,745 unique combinations of the four most recently rendered diagnoses. Recoding the diagnoses at a higher level within the ICD-9 coding hierarchy reduced the number to 1,052. For example code “573.3” is replaced with the less specific code of “573”. </w:t>
      </w:r>
      <w:r w:rsidR="00971408">
        <w:t xml:space="preserve">Each sequential combination of codes is represented by a directed graph, which itself is encoded a graph specific data base </w:t>
      </w:r>
      <w:r w:rsidR="00971408">
        <w:fldChar w:fldCharType="begin"/>
      </w:r>
      <w:r w:rsidR="00971408">
        <w:instrText xml:space="preserve"> ADDIN ZOTERO_ITEM CSL_CITATION {"citationID":"1h1iv29t3q","properties":{"formattedCitation":"[38]","plainCitation":"[38]"},"citationItems":[{"id":1002,"uris":["http://zotero.org/users/1980127/items/PPUT5T44"],"uri":["http://zotero.org/users/1980127/items/PPUT5T44"],"itemData":{"id":1002,"type":"paper-conference","title":"A programmatic introduction to Neo4j","publisher":"ACM Press","page":"217","source":"CrossRef","URL":"http://dl.acm.org/citation.cfm?doid=2384716.2384777","DOI":"10.1145/2384716.2384777","ISBN":"978-1-4503-1563-0","language":"en","author":[{"family":"Webber","given":"Jim"}],"issued":{"date-parts":[["2012"]]},"accessed":{"date-parts":[["2015",11,6]]}}}],"schema":"https://github.com/citation-style-language/schema/raw/master/csl-citation.json"} </w:instrText>
      </w:r>
      <w:r w:rsidR="00971408">
        <w:fldChar w:fldCharType="separate"/>
      </w:r>
      <w:r w:rsidR="00971408" w:rsidRPr="00971408">
        <w:t>[38]</w:t>
      </w:r>
      <w:r w:rsidR="00971408">
        <w:fldChar w:fldCharType="end"/>
      </w:r>
      <w:r w:rsidR="00027543">
        <w:t xml:space="preserve">. Such graphic specific data storage systems are increasingly being used in bioinformatics for the storage and retrieval of complex interconnected data </w:t>
      </w:r>
      <w:r w:rsidR="00027543">
        <w:fldChar w:fldCharType="begin"/>
      </w:r>
      <w:r w:rsidR="00027543">
        <w:instrText xml:space="preserve"> ADDIN ZOTERO_ITEM CSL_CITATION {"citationID":"9jso3u5bd","properties":{"formattedCitation":"[39]","plainCitation":"[39]"},"citationItems":[{"id":1014,"uris":["http://zotero.org/users/1980127/items/75WHU9GW"],"uri":["http://zotero.org/users/1980127/items/75WHU9GW"],"itemData":{"id":1014,"type":"article-journal","title":"Are graph databases ready for bioinformatics?","container-title":"Bioinformatics","page":"3107-3108","volume":"29","issue":"24","source":"CrossRef","DOI":"10.1093/bioinformatics/btt549","ISSN":"1367-4803, 1460-2059","language":"en","author":[{"family":"Have","given":"C. T."},{"family":"Jensen","given":"L. J."}],"issued":{"date-parts":[["2013",12,15]]}}}],"schema":"https://github.com/citation-style-language/schema/raw/master/csl-citation.json"} </w:instrText>
      </w:r>
      <w:r w:rsidR="00027543">
        <w:fldChar w:fldCharType="separate"/>
      </w:r>
      <w:r w:rsidR="00027543" w:rsidRPr="00027543">
        <w:t>[39]</w:t>
      </w:r>
      <w:r w:rsidR="00027543">
        <w:fldChar w:fldCharType="end"/>
      </w:r>
      <w:r w:rsidR="00027543">
        <w:t xml:space="preserve">. Once encoded and stored in Neo4j </w:t>
      </w:r>
      <w:r w:rsidR="00027543">
        <w:fldChar w:fldCharType="begin"/>
      </w:r>
      <w:r w:rsidR="00027543">
        <w:instrText xml:space="preserve"> ADDIN ZOTERO_ITEM CSL_CITATION {"citationID":"2gksgrj9i2","properties":{"formattedCitation":"[40]","plainCitation":"[40]"},"citationItems":[{"id":1025,"uris":["http://zotero.org/users/1980127/items/UEF6QBWG"],"uri":["http://zotero.org/users/1980127/items/UEF6QBWG"],"itemData":{"id":1025,"type":"book","title":"Neo4J","publisher":"Neo Technology","URL":"http://neo4j.com/docs/stable/","issued":{"date-parts":[["2015"]]}}}],"schema":"https://github.com/citation-style-language/schema/raw/master/csl-citation.json"} </w:instrText>
      </w:r>
      <w:r w:rsidR="00027543">
        <w:fldChar w:fldCharType="separate"/>
      </w:r>
      <w:r w:rsidR="00027543" w:rsidRPr="00027543">
        <w:t>[40]</w:t>
      </w:r>
      <w:r w:rsidR="00027543">
        <w:fldChar w:fldCharType="end"/>
      </w:r>
      <w:r w:rsidR="00027543">
        <w:t xml:space="preserve">, the query language Cypher was used to generate a set of mutually exclusive queries, which in aggregate returned every stored graph. This is analogous to clustering the graphs based on similarity. At the most specific, a query can be designed to return only a single graph, at the least specific, it would return every graph. This approach involved manually generating queries based on a topological </w:t>
      </w:r>
      <w:r w:rsidR="00AF1E36">
        <w:t>overview of the graphs. In the final model, the collection of graphs could be described / retrieved with 78 distinct queries each representing a cluster of similar graphs. Recoding individual observations then involved substituting an identifier for the query that uniquely retrieved that patients sequentially rendered diagnoses graph.</w:t>
      </w:r>
    </w:p>
    <w:p w:rsidR="00B65BBA" w:rsidRDefault="00B65BBA" w:rsidP="00FB28B4">
      <w:pPr>
        <w:pStyle w:val="Heading1"/>
      </w:pPr>
      <w:r>
        <w:t>Results</w:t>
      </w:r>
    </w:p>
    <w:p w:rsidR="00777368" w:rsidRPr="00777368" w:rsidRDefault="00B65BBA" w:rsidP="00FB28B4">
      <w:pPr>
        <w:pStyle w:val="Paragraph"/>
      </w:pPr>
      <w:r>
        <w:t xml:space="preserve">Detailed discussion of the results can be found in </w:t>
      </w:r>
      <w:r>
        <w:fldChar w:fldCharType="begin"/>
      </w:r>
      <w:r>
        <w:instrText xml:space="preserve"> ADDIN ZOTERO_ITEM CSL_CITATION {"citationID":"64fqgkuml","properties":{"formattedCitation":"[41]","plainCitation":"[41]"},"citationItems":[{"id":4,"uris":["http://zotero.org/users/1980127/items/F4JM4FKE"],"uri":["http://zotero.org/users/1980127/items/F4JM4FKE"],"itemData":{"id":4,"type":"report","title":"Machine Learning Based Prediction of Patient Readmission Using CMS Claims Data","publisher":"UVA Medical System","abstract":"1\nMachine Learning Based Prediction of Patient Readmission Using CMS Claims Data\nRobert P. Yerex, Ph.D\nMarch, 2015\nUVA Medical Center Accountable Care Organization\nObjectives. To develop a predictive model using statistical learning techniques to rank recently discharged patients on likelihood of readmission within 30 days of their discharge.\nData Sources. Claim and Claim Line Feed (CCLF) files provided by the Centers for Medicare &amp; Medicaid Services (CMS).\nStatistical Learning / Predictive Model. A Random Survival Forest (RSF) algorithm was used to predict each patient’s hazard function across the first 30 days post discharge.\nModel Performance. The most recently trained and tested incarnation of the model had a pairwise concordance index of 0.72 averaged across the first 30 days post discharge.\nBACKGROUND\nThe direct and indirect costs of unplanned patient readmission to hospital are staggering. By one estimate, 19.5% of all Medicare beneficiaries who were discharged from a Hospital (during 2003) were readmitted within 30 days, leading to incremental costs of $17.4 billion [1]. In addition to these direct costs, preventable readmissions compete for resources within the hospital, decreasing the quality of care and increasing costs for all patients. Costs are not equally distributed among Medicare beneficiaries. For example, in 2006 four percent of Medicaid enrollees were responsible for 48 percent of all Medicaid spending [2].\nWhile not all, many readmissions that occur within 30 days of discharge may be preventable. The Centers for Medicare &amp; Medicaid Services (CMS) estimates that if all hospitals attained reductions in 30 day readmission comparable to the best in class facilities, the annual reduction in costs would be $1.9 billion. It is well understood that interventions applied immediately post-discharge can have a significant positive impact in reducing unplanned, preventable readmissions [3]. In order to most effectively apply such intervention strategies on a cost effective basis, relative risk of readmission can be used to determine which patients may be most effectively targeted [4].","author":[{"family":"Yerex","given":"Robert Peter"}],"issued":{"date-parts":[["2015",3,21]]}}}],"schema":"https://github.com/citation-style-language/schema/raw/master/csl-citation.json"} </w:instrText>
      </w:r>
      <w:r>
        <w:fldChar w:fldCharType="separate"/>
      </w:r>
      <w:r w:rsidRPr="00B65BBA">
        <w:t>[41]</w:t>
      </w:r>
      <w:r>
        <w:fldChar w:fldCharType="end"/>
      </w:r>
      <w:r>
        <w:t>. For our purposes here, we will focus on the impact of including the ICD-9 code based feature described earlier.</w:t>
      </w:r>
    </w:p>
    <w:p w:rsidR="00B65BBA" w:rsidRDefault="00B65BBA" w:rsidP="00FB28B4">
      <w:pPr>
        <w:pStyle w:val="Heading1"/>
      </w:pPr>
      <w:r>
        <w:lastRenderedPageBreak/>
        <w:t>Variable Importance</w:t>
      </w:r>
    </w:p>
    <w:p w:rsidR="00B65BBA" w:rsidRDefault="00B65BBA" w:rsidP="00FB28B4">
      <w:pPr>
        <w:pStyle w:val="Paragraph"/>
      </w:pPr>
      <w:r>
        <w:t xml:space="preserve">Due to its complexity, the type of algorithm used to build this predictive model is not amenable to analytical interpretation of the sort available when using less sophisticated (and significantly less accurate) algorithms such as logistic regression. It is possible to determine the relative importance of the variables included in the model. Typically referred to as Variable Importance or VIMP. </w:t>
      </w:r>
      <w:r>
        <w:fldChar w:fldCharType="begin"/>
      </w:r>
      <w:r>
        <w:instrText xml:space="preserve"> REF _Ref434576283 \h  \* MERGEFORMAT </w:instrText>
      </w:r>
      <w:r>
        <w:fldChar w:fldCharType="separate"/>
      </w:r>
      <w:r w:rsidRPr="00B65BBA">
        <w:t>Table</w:t>
      </w:r>
      <w:r w:rsidRPr="00B65BBA">
        <w:rPr>
          <w:i/>
        </w:rPr>
        <w:t xml:space="preserve"> </w:t>
      </w:r>
      <w:r w:rsidRPr="00B65BBA">
        <w:rPr>
          <w:noProof/>
        </w:rPr>
        <w:t>1</w:t>
      </w:r>
      <w:r>
        <w:fldChar w:fldCharType="end"/>
      </w:r>
      <w:r>
        <w:t xml:space="preserve"> presents the relative variable importance of each of the features.</w:t>
      </w:r>
    </w:p>
    <w:p w:rsidR="00B65BBA" w:rsidRPr="00B65BBA" w:rsidRDefault="00B65BBA" w:rsidP="00827E2C">
      <w:pPr>
        <w:pStyle w:val="Caption"/>
      </w:pPr>
      <w:bookmarkStart w:id="0" w:name="_Ref434576283"/>
      <w:r w:rsidRPr="00B65BBA">
        <w:t xml:space="preserve">Table </w:t>
      </w:r>
      <w:fldSimple w:instr=" SEQ Table \* ARABIC ">
        <w:r w:rsidRPr="00B65BBA">
          <w:rPr>
            <w:noProof/>
          </w:rPr>
          <w:t>1</w:t>
        </w:r>
      </w:fldSimple>
      <w:bookmarkEnd w:id="0"/>
      <w:r w:rsidRPr="00B65BBA">
        <w:t>: Variable Importance</w:t>
      </w:r>
    </w:p>
    <w:tbl>
      <w:tblPr>
        <w:tblStyle w:val="TableGrid"/>
        <w:tblW w:w="0" w:type="auto"/>
        <w:jc w:val="center"/>
        <w:tblLook w:val="04A0" w:firstRow="1" w:lastRow="0" w:firstColumn="1" w:lastColumn="0" w:noHBand="0" w:noVBand="1"/>
      </w:tblPr>
      <w:tblGrid>
        <w:gridCol w:w="2360"/>
        <w:gridCol w:w="960"/>
      </w:tblGrid>
      <w:tr w:rsidR="00B65BBA" w:rsidRPr="0006142C" w:rsidTr="00F22A0D">
        <w:trPr>
          <w:trHeight w:val="300"/>
          <w:jc w:val="center"/>
        </w:trPr>
        <w:tc>
          <w:tcPr>
            <w:tcW w:w="2360" w:type="dxa"/>
            <w:noWrap/>
            <w:hideMark/>
          </w:tcPr>
          <w:p w:rsidR="00B65BBA" w:rsidRPr="0006142C" w:rsidRDefault="00B65BBA" w:rsidP="00FB28B4">
            <w:pPr>
              <w:pStyle w:val="Paragraph"/>
            </w:pPr>
            <w:r w:rsidRPr="0006142C">
              <w:t>Feature</w:t>
            </w:r>
          </w:p>
        </w:tc>
        <w:tc>
          <w:tcPr>
            <w:tcW w:w="960" w:type="dxa"/>
            <w:noWrap/>
            <w:hideMark/>
          </w:tcPr>
          <w:p w:rsidR="00B65BBA" w:rsidRPr="0006142C" w:rsidRDefault="00B65BBA" w:rsidP="00FB28B4">
            <w:pPr>
              <w:pStyle w:val="Paragraph"/>
            </w:pPr>
            <w:r w:rsidRPr="0006142C">
              <w:t>RVIMP</w:t>
            </w:r>
          </w:p>
        </w:tc>
      </w:tr>
      <w:tr w:rsidR="00B65BBA" w:rsidRPr="0006142C" w:rsidTr="00F22A0D">
        <w:trPr>
          <w:trHeight w:val="300"/>
          <w:jc w:val="center"/>
        </w:trPr>
        <w:tc>
          <w:tcPr>
            <w:tcW w:w="2360" w:type="dxa"/>
            <w:noWrap/>
            <w:hideMark/>
          </w:tcPr>
          <w:p w:rsidR="00B65BBA" w:rsidRPr="0006142C" w:rsidRDefault="00B65BBA" w:rsidP="00FB28B4">
            <w:pPr>
              <w:pStyle w:val="Paragraph"/>
            </w:pPr>
            <w:proofErr w:type="spellStart"/>
            <w:r w:rsidRPr="0006142C">
              <w:t>LOSp</w:t>
            </w:r>
            <w:proofErr w:type="spellEnd"/>
            <w:r w:rsidRPr="0006142C">
              <w:t xml:space="preserve"> </w:t>
            </w:r>
          </w:p>
        </w:tc>
        <w:tc>
          <w:tcPr>
            <w:tcW w:w="960" w:type="dxa"/>
            <w:noWrap/>
            <w:hideMark/>
          </w:tcPr>
          <w:p w:rsidR="00B65BBA" w:rsidRPr="0006142C" w:rsidRDefault="00B65BBA" w:rsidP="00FB28B4">
            <w:pPr>
              <w:pStyle w:val="Paragraph"/>
            </w:pPr>
            <w:r w:rsidRPr="0006142C">
              <w:t>1.000</w:t>
            </w:r>
          </w:p>
        </w:tc>
      </w:tr>
      <w:tr w:rsidR="00B65BBA" w:rsidRPr="0006142C" w:rsidTr="00F22A0D">
        <w:trPr>
          <w:trHeight w:val="300"/>
          <w:jc w:val="center"/>
        </w:trPr>
        <w:tc>
          <w:tcPr>
            <w:tcW w:w="2360" w:type="dxa"/>
            <w:noWrap/>
            <w:hideMark/>
          </w:tcPr>
          <w:p w:rsidR="00B65BBA" w:rsidRPr="0006142C" w:rsidRDefault="00B65BBA" w:rsidP="00FB28B4">
            <w:pPr>
              <w:pStyle w:val="Paragraph"/>
            </w:pPr>
            <w:proofErr w:type="spellStart"/>
            <w:r w:rsidRPr="0006142C">
              <w:t>Charlson</w:t>
            </w:r>
            <w:proofErr w:type="spellEnd"/>
            <w:r w:rsidRPr="0006142C">
              <w:t xml:space="preserve"> </w:t>
            </w:r>
          </w:p>
        </w:tc>
        <w:tc>
          <w:tcPr>
            <w:tcW w:w="960" w:type="dxa"/>
            <w:noWrap/>
            <w:hideMark/>
          </w:tcPr>
          <w:p w:rsidR="00B65BBA" w:rsidRPr="0006142C" w:rsidRDefault="00B65BBA" w:rsidP="00FB28B4">
            <w:pPr>
              <w:pStyle w:val="Paragraph"/>
            </w:pPr>
            <w:r w:rsidRPr="0006142C">
              <w:t>0.961</w:t>
            </w:r>
          </w:p>
        </w:tc>
      </w:tr>
      <w:tr w:rsidR="00B65BBA" w:rsidRPr="0006142C" w:rsidTr="00F22A0D">
        <w:trPr>
          <w:trHeight w:val="300"/>
          <w:jc w:val="center"/>
        </w:trPr>
        <w:tc>
          <w:tcPr>
            <w:tcW w:w="2360" w:type="dxa"/>
            <w:noWrap/>
            <w:hideMark/>
          </w:tcPr>
          <w:p w:rsidR="00B65BBA" w:rsidRPr="0006142C" w:rsidRDefault="00F41AA3" w:rsidP="00FB28B4">
            <w:pPr>
              <w:pStyle w:val="Paragraph"/>
            </w:pPr>
            <w:proofErr w:type="spellStart"/>
            <w:r>
              <w:t>d</w:t>
            </w:r>
            <w:r w:rsidR="00B65BBA" w:rsidRPr="0006142C">
              <w:t>iagCDSequence</w:t>
            </w:r>
            <w:proofErr w:type="spellEnd"/>
            <w:r w:rsidR="00B65BBA" w:rsidRPr="0006142C">
              <w:t xml:space="preserve"> </w:t>
            </w:r>
          </w:p>
        </w:tc>
        <w:tc>
          <w:tcPr>
            <w:tcW w:w="960" w:type="dxa"/>
            <w:noWrap/>
            <w:hideMark/>
          </w:tcPr>
          <w:p w:rsidR="00B65BBA" w:rsidRPr="0006142C" w:rsidRDefault="00B65BBA" w:rsidP="00FB28B4">
            <w:pPr>
              <w:pStyle w:val="Paragraph"/>
            </w:pPr>
            <w:r w:rsidRPr="0006142C">
              <w:t>0.898</w:t>
            </w:r>
          </w:p>
        </w:tc>
      </w:tr>
      <w:tr w:rsidR="00B65BBA" w:rsidRPr="0006142C" w:rsidTr="00F22A0D">
        <w:trPr>
          <w:trHeight w:val="300"/>
          <w:jc w:val="center"/>
        </w:trPr>
        <w:tc>
          <w:tcPr>
            <w:tcW w:w="2360" w:type="dxa"/>
            <w:noWrap/>
            <w:hideMark/>
          </w:tcPr>
          <w:p w:rsidR="00B65BBA" w:rsidRPr="0006142C" w:rsidRDefault="00B65BBA" w:rsidP="00FB28B4">
            <w:pPr>
              <w:pStyle w:val="Paragraph"/>
            </w:pPr>
            <w:proofErr w:type="spellStart"/>
            <w:r w:rsidRPr="0006142C">
              <w:t>patientAge</w:t>
            </w:r>
            <w:proofErr w:type="spellEnd"/>
            <w:r w:rsidRPr="0006142C">
              <w:t xml:space="preserve"> </w:t>
            </w:r>
          </w:p>
        </w:tc>
        <w:tc>
          <w:tcPr>
            <w:tcW w:w="960" w:type="dxa"/>
            <w:noWrap/>
            <w:hideMark/>
          </w:tcPr>
          <w:p w:rsidR="00B65BBA" w:rsidRPr="0006142C" w:rsidRDefault="00B65BBA" w:rsidP="00FB28B4">
            <w:pPr>
              <w:pStyle w:val="Paragraph"/>
            </w:pPr>
            <w:r w:rsidRPr="0006142C">
              <w:t>0.794</w:t>
            </w:r>
          </w:p>
        </w:tc>
      </w:tr>
      <w:tr w:rsidR="00B65BBA" w:rsidRPr="0006142C" w:rsidTr="00F22A0D">
        <w:trPr>
          <w:trHeight w:val="300"/>
          <w:jc w:val="center"/>
        </w:trPr>
        <w:tc>
          <w:tcPr>
            <w:tcW w:w="2360" w:type="dxa"/>
            <w:noWrap/>
            <w:hideMark/>
          </w:tcPr>
          <w:p w:rsidR="00B65BBA" w:rsidRPr="0006142C" w:rsidRDefault="00B65BBA" w:rsidP="00FB28B4">
            <w:pPr>
              <w:pStyle w:val="Paragraph"/>
            </w:pPr>
            <w:proofErr w:type="spellStart"/>
            <w:r w:rsidRPr="0006142C">
              <w:t>admitTypeSequence</w:t>
            </w:r>
            <w:proofErr w:type="spellEnd"/>
            <w:r w:rsidRPr="0006142C">
              <w:t xml:space="preserve"> </w:t>
            </w:r>
          </w:p>
        </w:tc>
        <w:tc>
          <w:tcPr>
            <w:tcW w:w="960" w:type="dxa"/>
            <w:noWrap/>
            <w:hideMark/>
          </w:tcPr>
          <w:p w:rsidR="00B65BBA" w:rsidRPr="0006142C" w:rsidRDefault="00B65BBA" w:rsidP="00FB28B4">
            <w:pPr>
              <w:pStyle w:val="Paragraph"/>
            </w:pPr>
            <w:r w:rsidRPr="0006142C">
              <w:t>0.617</w:t>
            </w:r>
          </w:p>
        </w:tc>
      </w:tr>
      <w:tr w:rsidR="00B65BBA" w:rsidRPr="0006142C" w:rsidTr="00F22A0D">
        <w:trPr>
          <w:trHeight w:val="300"/>
          <w:jc w:val="center"/>
        </w:trPr>
        <w:tc>
          <w:tcPr>
            <w:tcW w:w="2360" w:type="dxa"/>
            <w:noWrap/>
            <w:hideMark/>
          </w:tcPr>
          <w:p w:rsidR="00B65BBA" w:rsidRPr="0006142C" w:rsidRDefault="00B65BBA" w:rsidP="00FB28B4">
            <w:pPr>
              <w:pStyle w:val="Paragraph"/>
            </w:pPr>
            <w:proofErr w:type="spellStart"/>
            <w:r w:rsidRPr="0006142C">
              <w:t>dschrgCDSequence</w:t>
            </w:r>
            <w:proofErr w:type="spellEnd"/>
            <w:r w:rsidRPr="0006142C">
              <w:t xml:space="preserve"> </w:t>
            </w:r>
          </w:p>
        </w:tc>
        <w:tc>
          <w:tcPr>
            <w:tcW w:w="960" w:type="dxa"/>
            <w:noWrap/>
            <w:hideMark/>
          </w:tcPr>
          <w:p w:rsidR="00B65BBA" w:rsidRPr="0006142C" w:rsidRDefault="00B65BBA" w:rsidP="00FB28B4">
            <w:pPr>
              <w:pStyle w:val="Paragraph"/>
            </w:pPr>
            <w:r w:rsidRPr="0006142C">
              <w:t>0.566</w:t>
            </w:r>
          </w:p>
        </w:tc>
      </w:tr>
      <w:tr w:rsidR="00B65BBA" w:rsidRPr="0006142C" w:rsidTr="00F22A0D">
        <w:trPr>
          <w:trHeight w:val="300"/>
          <w:jc w:val="center"/>
        </w:trPr>
        <w:tc>
          <w:tcPr>
            <w:tcW w:w="2360" w:type="dxa"/>
            <w:noWrap/>
            <w:hideMark/>
          </w:tcPr>
          <w:p w:rsidR="00B65BBA" w:rsidRPr="0006142C" w:rsidRDefault="00B65BBA" w:rsidP="00FB28B4">
            <w:pPr>
              <w:pStyle w:val="Paragraph"/>
            </w:pPr>
            <w:proofErr w:type="spellStart"/>
            <w:r w:rsidRPr="0006142C">
              <w:t>medianIncome</w:t>
            </w:r>
            <w:proofErr w:type="spellEnd"/>
            <w:r w:rsidRPr="0006142C">
              <w:t xml:space="preserve"> </w:t>
            </w:r>
          </w:p>
        </w:tc>
        <w:tc>
          <w:tcPr>
            <w:tcW w:w="960" w:type="dxa"/>
            <w:noWrap/>
            <w:hideMark/>
          </w:tcPr>
          <w:p w:rsidR="00B65BBA" w:rsidRPr="0006142C" w:rsidRDefault="00B65BBA" w:rsidP="00FB28B4">
            <w:pPr>
              <w:pStyle w:val="Paragraph"/>
            </w:pPr>
            <w:r w:rsidRPr="0006142C">
              <w:t>0.390</w:t>
            </w:r>
          </w:p>
        </w:tc>
      </w:tr>
      <w:tr w:rsidR="00B65BBA" w:rsidRPr="0006142C" w:rsidTr="00F22A0D">
        <w:trPr>
          <w:trHeight w:val="300"/>
          <w:jc w:val="center"/>
        </w:trPr>
        <w:tc>
          <w:tcPr>
            <w:tcW w:w="2360" w:type="dxa"/>
            <w:noWrap/>
            <w:hideMark/>
          </w:tcPr>
          <w:p w:rsidR="00B65BBA" w:rsidRPr="0006142C" w:rsidRDefault="00B65BBA" w:rsidP="00FB28B4">
            <w:pPr>
              <w:pStyle w:val="Paragraph"/>
            </w:pPr>
            <w:proofErr w:type="spellStart"/>
            <w:r w:rsidRPr="0006142C">
              <w:t>eduHS</w:t>
            </w:r>
            <w:proofErr w:type="spellEnd"/>
            <w:r w:rsidRPr="0006142C">
              <w:t xml:space="preserve"> </w:t>
            </w:r>
          </w:p>
        </w:tc>
        <w:tc>
          <w:tcPr>
            <w:tcW w:w="960" w:type="dxa"/>
            <w:noWrap/>
            <w:hideMark/>
          </w:tcPr>
          <w:p w:rsidR="00B65BBA" w:rsidRPr="0006142C" w:rsidRDefault="00B65BBA" w:rsidP="00FB28B4">
            <w:pPr>
              <w:pStyle w:val="Paragraph"/>
            </w:pPr>
            <w:r w:rsidRPr="0006142C">
              <w:t>0.159</w:t>
            </w:r>
          </w:p>
        </w:tc>
      </w:tr>
      <w:tr w:rsidR="00B65BBA" w:rsidRPr="0006142C" w:rsidTr="00F22A0D">
        <w:trPr>
          <w:trHeight w:val="300"/>
          <w:jc w:val="center"/>
        </w:trPr>
        <w:tc>
          <w:tcPr>
            <w:tcW w:w="2360" w:type="dxa"/>
            <w:noWrap/>
            <w:hideMark/>
          </w:tcPr>
          <w:p w:rsidR="00B65BBA" w:rsidRPr="0006142C" w:rsidRDefault="00B65BBA" w:rsidP="00FB28B4">
            <w:pPr>
              <w:pStyle w:val="Paragraph"/>
            </w:pPr>
            <w:proofErr w:type="spellStart"/>
            <w:r w:rsidRPr="0006142C">
              <w:t>patientRace</w:t>
            </w:r>
            <w:proofErr w:type="spellEnd"/>
            <w:r w:rsidRPr="0006142C">
              <w:t xml:space="preserve"> </w:t>
            </w:r>
          </w:p>
        </w:tc>
        <w:tc>
          <w:tcPr>
            <w:tcW w:w="960" w:type="dxa"/>
            <w:noWrap/>
            <w:hideMark/>
          </w:tcPr>
          <w:p w:rsidR="00B65BBA" w:rsidRPr="0006142C" w:rsidRDefault="00B65BBA" w:rsidP="00FB28B4">
            <w:pPr>
              <w:pStyle w:val="Paragraph"/>
            </w:pPr>
            <w:r w:rsidRPr="0006142C">
              <w:t>0.031</w:t>
            </w:r>
          </w:p>
        </w:tc>
      </w:tr>
      <w:tr w:rsidR="00B65BBA" w:rsidRPr="0006142C" w:rsidTr="00F22A0D">
        <w:trPr>
          <w:trHeight w:val="300"/>
          <w:jc w:val="center"/>
        </w:trPr>
        <w:tc>
          <w:tcPr>
            <w:tcW w:w="2360" w:type="dxa"/>
            <w:noWrap/>
            <w:hideMark/>
          </w:tcPr>
          <w:p w:rsidR="00B65BBA" w:rsidRPr="0006142C" w:rsidRDefault="00B65BBA" w:rsidP="00FB28B4">
            <w:pPr>
              <w:pStyle w:val="Paragraph"/>
            </w:pPr>
            <w:proofErr w:type="spellStart"/>
            <w:r w:rsidRPr="0006142C">
              <w:t>routeIRF</w:t>
            </w:r>
            <w:proofErr w:type="spellEnd"/>
            <w:r w:rsidRPr="0006142C">
              <w:t xml:space="preserve"> </w:t>
            </w:r>
          </w:p>
        </w:tc>
        <w:tc>
          <w:tcPr>
            <w:tcW w:w="960" w:type="dxa"/>
            <w:noWrap/>
            <w:hideMark/>
          </w:tcPr>
          <w:p w:rsidR="00B65BBA" w:rsidRPr="0006142C" w:rsidRDefault="00B65BBA" w:rsidP="00FB28B4">
            <w:pPr>
              <w:pStyle w:val="Paragraph"/>
            </w:pPr>
            <w:r w:rsidRPr="0006142C">
              <w:t>0.007</w:t>
            </w:r>
          </w:p>
        </w:tc>
      </w:tr>
      <w:tr w:rsidR="00B65BBA" w:rsidRPr="0006142C" w:rsidTr="00F22A0D">
        <w:trPr>
          <w:trHeight w:val="300"/>
          <w:jc w:val="center"/>
        </w:trPr>
        <w:tc>
          <w:tcPr>
            <w:tcW w:w="2360" w:type="dxa"/>
            <w:noWrap/>
            <w:hideMark/>
          </w:tcPr>
          <w:p w:rsidR="00B65BBA" w:rsidRPr="0006142C" w:rsidRDefault="00B65BBA" w:rsidP="00FB28B4">
            <w:pPr>
              <w:pStyle w:val="Paragraph"/>
            </w:pPr>
            <w:proofErr w:type="spellStart"/>
            <w:r w:rsidRPr="0006142C">
              <w:t>routeSNF</w:t>
            </w:r>
            <w:proofErr w:type="spellEnd"/>
            <w:r w:rsidRPr="0006142C">
              <w:t xml:space="preserve"> </w:t>
            </w:r>
          </w:p>
        </w:tc>
        <w:tc>
          <w:tcPr>
            <w:tcW w:w="960" w:type="dxa"/>
            <w:noWrap/>
            <w:hideMark/>
          </w:tcPr>
          <w:p w:rsidR="00B65BBA" w:rsidRPr="0006142C" w:rsidRDefault="00B65BBA" w:rsidP="00FB28B4">
            <w:pPr>
              <w:pStyle w:val="Paragraph"/>
            </w:pPr>
            <w:r w:rsidRPr="0006142C">
              <w:t>0.004</w:t>
            </w:r>
          </w:p>
        </w:tc>
      </w:tr>
      <w:tr w:rsidR="00B65BBA" w:rsidRPr="0006142C" w:rsidTr="00F22A0D">
        <w:trPr>
          <w:trHeight w:val="300"/>
          <w:jc w:val="center"/>
        </w:trPr>
        <w:tc>
          <w:tcPr>
            <w:tcW w:w="2360" w:type="dxa"/>
            <w:noWrap/>
            <w:hideMark/>
          </w:tcPr>
          <w:p w:rsidR="00B65BBA" w:rsidRPr="0006142C" w:rsidRDefault="00B65BBA" w:rsidP="00FB28B4">
            <w:pPr>
              <w:pStyle w:val="Paragraph"/>
            </w:pPr>
            <w:proofErr w:type="spellStart"/>
            <w:r w:rsidRPr="0006142C">
              <w:t>routeICF</w:t>
            </w:r>
            <w:proofErr w:type="spellEnd"/>
            <w:r w:rsidRPr="0006142C">
              <w:t xml:space="preserve"> </w:t>
            </w:r>
          </w:p>
        </w:tc>
        <w:tc>
          <w:tcPr>
            <w:tcW w:w="960" w:type="dxa"/>
            <w:noWrap/>
            <w:hideMark/>
          </w:tcPr>
          <w:p w:rsidR="00B65BBA" w:rsidRPr="0006142C" w:rsidRDefault="00B65BBA" w:rsidP="00FB28B4">
            <w:pPr>
              <w:pStyle w:val="Paragraph"/>
            </w:pPr>
            <w:r w:rsidRPr="0006142C">
              <w:t>0.000</w:t>
            </w:r>
          </w:p>
        </w:tc>
      </w:tr>
    </w:tbl>
    <w:p w:rsidR="00B65BBA" w:rsidRDefault="00B65BBA" w:rsidP="00B65BBA">
      <w:pPr>
        <w:rPr>
          <w:lang w:eastAsia="en-GB"/>
        </w:rPr>
      </w:pPr>
    </w:p>
    <w:p w:rsidR="00B65BBA" w:rsidRDefault="00B65BBA" w:rsidP="00FB28B4">
      <w:pPr>
        <w:pStyle w:val="Paragraph"/>
      </w:pPr>
      <w:proofErr w:type="spellStart"/>
      <w:r w:rsidRPr="00F41AA3">
        <w:rPr>
          <w:b/>
        </w:rPr>
        <w:t>LOSp</w:t>
      </w:r>
      <w:proofErr w:type="spellEnd"/>
      <w:r>
        <w:t>: Length of Spell in days</w:t>
      </w:r>
    </w:p>
    <w:p w:rsidR="00B65BBA" w:rsidRDefault="00B65BBA" w:rsidP="00FB28B4">
      <w:pPr>
        <w:pStyle w:val="Paragraph"/>
      </w:pPr>
      <w:proofErr w:type="spellStart"/>
      <w:r w:rsidRPr="00F41AA3">
        <w:rPr>
          <w:b/>
        </w:rPr>
        <w:t>Charlson</w:t>
      </w:r>
      <w:proofErr w:type="spellEnd"/>
      <w:r>
        <w:t xml:space="preserve">: </w:t>
      </w:r>
      <w:proofErr w:type="spellStart"/>
      <w:r>
        <w:t>Charlson</w:t>
      </w:r>
      <w:proofErr w:type="spellEnd"/>
      <w:r>
        <w:t xml:space="preserve"> comorbidity score. The range for this data set was from 0 to 11.</w:t>
      </w:r>
    </w:p>
    <w:p w:rsidR="00B65BBA" w:rsidRDefault="00F41AA3" w:rsidP="00FB28B4">
      <w:pPr>
        <w:pStyle w:val="Paragraph"/>
      </w:pPr>
      <w:proofErr w:type="spellStart"/>
      <w:proofErr w:type="gramStart"/>
      <w:r>
        <w:rPr>
          <w:b/>
        </w:rPr>
        <w:t>d</w:t>
      </w:r>
      <w:r w:rsidR="00B65BBA" w:rsidRPr="00F41AA3">
        <w:rPr>
          <w:b/>
        </w:rPr>
        <w:t>iagCDSequence</w:t>
      </w:r>
      <w:proofErr w:type="spellEnd"/>
      <w:proofErr w:type="gramEnd"/>
      <w:r w:rsidR="00B65BBA">
        <w:t xml:space="preserve">: </w:t>
      </w:r>
      <w:r>
        <w:t>Sequence of diagnoses codes encoded as a directed graph and allocated to one of 78 clusters based on query similarity.</w:t>
      </w:r>
    </w:p>
    <w:p w:rsidR="00B65BBA" w:rsidRDefault="00B65BBA" w:rsidP="00FB28B4">
      <w:pPr>
        <w:pStyle w:val="Paragraph"/>
      </w:pPr>
      <w:proofErr w:type="spellStart"/>
      <w:proofErr w:type="gramStart"/>
      <w:r w:rsidRPr="00F41AA3">
        <w:rPr>
          <w:b/>
        </w:rPr>
        <w:t>admitlDiagCDSequence</w:t>
      </w:r>
      <w:proofErr w:type="spellEnd"/>
      <w:proofErr w:type="gramEnd"/>
      <w:r>
        <w:t>: Concatenated sequence of admission diagnosis codes (ICD9).</w:t>
      </w:r>
    </w:p>
    <w:p w:rsidR="00B65BBA" w:rsidRDefault="00B65BBA" w:rsidP="00FB28B4">
      <w:pPr>
        <w:pStyle w:val="Paragraph"/>
      </w:pPr>
      <w:proofErr w:type="spellStart"/>
      <w:proofErr w:type="gramStart"/>
      <w:r w:rsidRPr="00F41AA3">
        <w:rPr>
          <w:b/>
        </w:rPr>
        <w:t>patientAge</w:t>
      </w:r>
      <w:proofErr w:type="spellEnd"/>
      <w:proofErr w:type="gramEnd"/>
      <w:r>
        <w:t>: Patient’s age in years at time of discharge</w:t>
      </w:r>
    </w:p>
    <w:p w:rsidR="00B65BBA" w:rsidRDefault="00B65BBA" w:rsidP="00FB28B4">
      <w:pPr>
        <w:pStyle w:val="Paragraph"/>
      </w:pPr>
      <w:proofErr w:type="spellStart"/>
      <w:proofErr w:type="gramStart"/>
      <w:r w:rsidRPr="00F41AA3">
        <w:rPr>
          <w:b/>
        </w:rPr>
        <w:t>admitTypeSuence</w:t>
      </w:r>
      <w:proofErr w:type="spellEnd"/>
      <w:proofErr w:type="gramEnd"/>
      <w:r>
        <w:t xml:space="preserve">: Concatenated sequence of admission type codes. </w:t>
      </w:r>
    </w:p>
    <w:p w:rsidR="00B65BBA" w:rsidRDefault="00B65BBA" w:rsidP="00FB28B4">
      <w:pPr>
        <w:pStyle w:val="Paragraph"/>
      </w:pPr>
      <w:proofErr w:type="spellStart"/>
      <w:proofErr w:type="gramStart"/>
      <w:r w:rsidRPr="00F41AA3">
        <w:rPr>
          <w:b/>
        </w:rPr>
        <w:t>dischrgCDSequence</w:t>
      </w:r>
      <w:proofErr w:type="spellEnd"/>
      <w:proofErr w:type="gramEnd"/>
      <w:r>
        <w:t>: Concatenated sequence of discharge codes.</w:t>
      </w:r>
    </w:p>
    <w:p w:rsidR="00B65BBA" w:rsidRDefault="00B65BBA" w:rsidP="00FB28B4">
      <w:pPr>
        <w:pStyle w:val="Paragraph"/>
      </w:pPr>
      <w:proofErr w:type="spellStart"/>
      <w:proofErr w:type="gramStart"/>
      <w:r w:rsidRPr="00F41AA3">
        <w:rPr>
          <w:b/>
        </w:rPr>
        <w:t>medianIncome</w:t>
      </w:r>
      <w:proofErr w:type="spellEnd"/>
      <w:proofErr w:type="gramEnd"/>
      <w:r>
        <w:t>: The median income (in dollars) reported for the census block in which the patient resides.</w:t>
      </w:r>
    </w:p>
    <w:p w:rsidR="00B65BBA" w:rsidRDefault="00B65BBA" w:rsidP="00FB28B4">
      <w:pPr>
        <w:pStyle w:val="Paragraph"/>
      </w:pPr>
      <w:proofErr w:type="spellStart"/>
      <w:proofErr w:type="gramStart"/>
      <w:r w:rsidRPr="00F41AA3">
        <w:rPr>
          <w:b/>
        </w:rPr>
        <w:t>eduHS</w:t>
      </w:r>
      <w:proofErr w:type="spellEnd"/>
      <w:proofErr w:type="gramEnd"/>
      <w:r>
        <w:t>: The probability that an adult living in the patient’s census block completed High School.</w:t>
      </w:r>
    </w:p>
    <w:p w:rsidR="00B65BBA" w:rsidRDefault="00B65BBA" w:rsidP="00FB28B4">
      <w:pPr>
        <w:pStyle w:val="Paragraph"/>
      </w:pPr>
      <w:proofErr w:type="spellStart"/>
      <w:proofErr w:type="gramStart"/>
      <w:r w:rsidRPr="00F41AA3">
        <w:rPr>
          <w:b/>
        </w:rPr>
        <w:t>patientRace</w:t>
      </w:r>
      <w:proofErr w:type="spellEnd"/>
      <w:proofErr w:type="gramEnd"/>
      <w:r>
        <w:t>: The patien</w:t>
      </w:r>
      <w:r w:rsidR="00F41AA3">
        <w:t>t’</w:t>
      </w:r>
      <w:r>
        <w:t>s reported race.</w:t>
      </w:r>
    </w:p>
    <w:p w:rsidR="00B65BBA" w:rsidRDefault="00B65BBA" w:rsidP="00FB28B4">
      <w:pPr>
        <w:pStyle w:val="Paragraph"/>
      </w:pPr>
      <w:proofErr w:type="spellStart"/>
      <w:proofErr w:type="gramStart"/>
      <w:r w:rsidRPr="00F41AA3">
        <w:rPr>
          <w:b/>
        </w:rPr>
        <w:t>routeIRF</w:t>
      </w:r>
      <w:proofErr w:type="spellEnd"/>
      <w:proofErr w:type="gramEnd"/>
      <w:r w:rsidRPr="00F41AA3">
        <w:rPr>
          <w:b/>
        </w:rPr>
        <w:t xml:space="preserve">, </w:t>
      </w:r>
      <w:proofErr w:type="spellStart"/>
      <w:r w:rsidRPr="00F41AA3">
        <w:rPr>
          <w:b/>
        </w:rPr>
        <w:t>routeSNF</w:t>
      </w:r>
      <w:proofErr w:type="spellEnd"/>
      <w:r w:rsidRPr="00F41AA3">
        <w:rPr>
          <w:b/>
        </w:rPr>
        <w:t xml:space="preserve">, </w:t>
      </w:r>
      <w:proofErr w:type="spellStart"/>
      <w:r w:rsidRPr="00F41AA3">
        <w:rPr>
          <w:b/>
        </w:rPr>
        <w:t>routeICF</w:t>
      </w:r>
      <w:proofErr w:type="spellEnd"/>
      <w:r w:rsidRPr="00F41AA3">
        <w:rPr>
          <w:b/>
        </w:rPr>
        <w:t>:</w:t>
      </w:r>
      <w:r>
        <w:t xml:space="preserve"> </w:t>
      </w:r>
      <w:r w:rsidRPr="00F41AA3">
        <w:t>A set of three features used to indicate if the patient’s discharge pathway included an SNF (Skilled Nursing Facility),  IRF (Inpatient Rehabilitation Facility), or ICF (Intermediate Care Facility respectively).</w:t>
      </w:r>
    </w:p>
    <w:p w:rsidR="00B65BBA" w:rsidRDefault="00B65BBA" w:rsidP="00FB28B4">
      <w:pPr>
        <w:pStyle w:val="Paragraph"/>
      </w:pPr>
      <w:r>
        <w:t xml:space="preserve">The process for calculating the VIMP values is essentially one in which each of the features in the final model is removed, one at a time, and the model is re-run and cross-validated. The reduction in predictive power then </w:t>
      </w:r>
      <w:r>
        <w:lastRenderedPageBreak/>
        <w:t xml:space="preserve">represents the importance of each feature. When interaction terms between features are included in the model, the process becomes more complex as groups of features must be tested. In the case of Random Survival Forest models, interaction terms are not directly included in the model formulation, rather the impact of interactions is implicitly accounted for in the branching process used to grow the large number of trees (in this case 500). </w:t>
      </w:r>
    </w:p>
    <w:p w:rsidR="000E28C0" w:rsidRDefault="00F41AA3" w:rsidP="00FB28B4">
      <w:pPr>
        <w:pStyle w:val="Paragraph"/>
      </w:pPr>
      <w:r>
        <w:t>The graph encoded feature</w:t>
      </w:r>
      <w:r w:rsidR="00B65BBA">
        <w:t xml:space="preserve"> </w:t>
      </w:r>
      <w:r>
        <w:t>d</w:t>
      </w:r>
      <w:proofErr w:type="spellStart"/>
      <w:r w:rsidRPr="0006142C">
        <w:rPr>
          <w:lang w:val="en-GB"/>
        </w:rPr>
        <w:t>iagCDSequence</w:t>
      </w:r>
      <w:proofErr w:type="spellEnd"/>
      <w:r>
        <w:rPr>
          <w:lang w:val="en-GB"/>
        </w:rPr>
        <w:t xml:space="preserve">, was among the top three most important variables, contributing very significantly to the predictive power of the model. As described in more detail below, the final model exhibited an average concordance index (CI) of 0.72 when </w:t>
      </w:r>
      <w:r>
        <w:t>d</w:t>
      </w:r>
      <w:proofErr w:type="spellStart"/>
      <w:r w:rsidRPr="0006142C">
        <w:rPr>
          <w:lang w:val="en-GB"/>
        </w:rPr>
        <w:t>iagCDSequence</w:t>
      </w:r>
      <w:proofErr w:type="spellEnd"/>
      <w:r>
        <w:rPr>
          <w:lang w:val="en-GB"/>
        </w:rPr>
        <w:t xml:space="preserve"> was included. Without this feature, the average CI dropped to 0.61. When a feature coded as the sorted and concatenated ICD-9 codes was substituted for </w:t>
      </w:r>
      <w:r>
        <w:t>d</w:t>
      </w:r>
      <w:proofErr w:type="spellStart"/>
      <w:r w:rsidRPr="0006142C">
        <w:rPr>
          <w:lang w:val="en-GB"/>
        </w:rPr>
        <w:t>iagCDSequence</w:t>
      </w:r>
      <w:proofErr w:type="spellEnd"/>
      <w:r>
        <w:rPr>
          <w:lang w:val="en-GB"/>
        </w:rPr>
        <w:t xml:space="preserve">, the resulting average CI was 0.64. </w:t>
      </w:r>
    </w:p>
    <w:p w:rsidR="000E28C0" w:rsidRDefault="000E28C0" w:rsidP="00FB28B4">
      <w:pPr>
        <w:pStyle w:val="Heading1"/>
      </w:pPr>
      <w:r>
        <w:t>Error Measurement, Model Tuning, and Performance</w:t>
      </w:r>
    </w:p>
    <w:p w:rsidR="000E28C0" w:rsidRDefault="000E28C0" w:rsidP="00FB28B4">
      <w:pPr>
        <w:pStyle w:val="Paragraph"/>
      </w:pPr>
      <w:r>
        <w:t xml:space="preserve">For statistical learning models where survival time and hazard rates are the predicted outcome or target, the underlying distributions of   and   are highly skewed and the data itself is right censored, error measures that compare predicted survival times to actual survival times are far too restrictive. The use of biased estimators compounds this issue. An alternative is to cast the task as one of ranking survival times rather than estimating those times outright. Individual pairs of patients can then be ranked as to which estimated time to event (readmission in this case) was shorter and then testing this against the known outcomes. This approach is a form of Concordance Index (CI) </w:t>
      </w:r>
      <w:r>
        <w:fldChar w:fldCharType="begin"/>
      </w:r>
      <w:r w:rsidR="00B65BBA">
        <w:instrText xml:space="preserve"> ADDIN ZOTERO_ITEM CSL_CITATION {"citationID":"1giflpgpt3","properties":{"formattedCitation":"[42]","plainCitation":"[42]"},"citationItems":[{"id":1123,"uris":["http://zotero.org/users/1980127/items/THZRAWUN"],"uri":["http://zotero.org/users/1980127/items/THZRAWUN"],"itemData":{"id":1123,"type":"book","title":"On Ranking in Survival Analysis: Bounds on the Concordance Index","source":"CiteSeer","abstract":"In this paper, we show that classical survival analysis involving censored data can naturally be cast as a ranking problem. The concordance index (CI), which quantifies the quality of rankings, is the standard performance measure for model assessment in survival analysis. In contrast, the standard approach to learning the popular proportional hazard (PH) model is based on Cox’s partial likelihood. We devise two bounds on CI–one of which emerges directly from the properties of PH models–and optimize them directly. Our experimental results suggest that all three methods perform about equally well, with our new approach giving slightly better results. We also explain why a method designed to maximize the Cox’s partial likelihood also ends up (approximately) maximizing the CI. 1","shortTitle":"On Ranking in Survival Analysis","author":[{"family":"Raykar","given":"Vikas C."},{"family":"Steck","given":"Harald"},{"family":"Krishnapuram","given":"Balaji"},{"family":"Dehing-oberije","given":"Cary"}]}}],"schema":"https://github.com/citation-style-language/schema/raw/master/csl-citation.json"} </w:instrText>
      </w:r>
      <w:r>
        <w:fldChar w:fldCharType="separate"/>
      </w:r>
      <w:r w:rsidR="00B65BBA" w:rsidRPr="00B65BBA">
        <w:t>[42]</w:t>
      </w:r>
      <w:r>
        <w:fldChar w:fldCharType="end"/>
      </w:r>
      <w:r>
        <w:t xml:space="preserve">, which itself is related to the Mann-Whitney Parameter </w:t>
      </w:r>
      <w:r>
        <w:fldChar w:fldCharType="begin"/>
      </w:r>
      <w:r w:rsidR="00B65BBA">
        <w:instrText xml:space="preserve"> ADDIN ZOTERO_ITEM CSL_CITATION {"citationID":"u6606894h","properties":{"formattedCitation":"[43]","plainCitation":"[43]"},"citationItems":[{"id":1117,"uris":["http://zotero.org/users/1980127/items/N9NQM4UQ"],"uri":["http://zotero.org/users/1980127/items/N9NQM4UQ"],"itemData":{"id":1117,"type":"article-journal","title":"The Concordance Index C and the Mann–Whitney Parameter Pr(X&gt;Y) with Randomly Censored Data","container-title":"Biometrical Journal","page":"467-474","volume":"51","issue":"3","source":"Wiley Online Library","abstract":"Harrell's c-index or concordance C has been widely used as a measure of separation of two survival distributions. In the absence of censored data, the c-index estimates the Mann–Whitney parameter Pr(X&gt;Y), which has been repeatedly utilized in various statistical contexts. In the presence of randomly censored data, the c-index no longer estimates Pr(X&gt;Y); rather, a parameter that involves the underlying censoring distributions. This is in contrast to Efron's maximum likelihood estimator of the Mann–Whitney parameter, which is recommended in the setting of random censorship.","DOI":"10.1002/bimj.200800228","ISSN":"1521-4036","journalAbbreviation":"Biom. J.","language":"en","author":[{"family":"Koziol","given":"James A."},{"family":"Jia","given":"Zhenyu"}],"issued":{"date-parts":[["2009",7,1]]}}}],"schema":"https://github.com/citation-style-language/schema/raw/master/csl-citation.json"} </w:instrText>
      </w:r>
      <w:r>
        <w:fldChar w:fldCharType="separate"/>
      </w:r>
      <w:r w:rsidR="00B65BBA" w:rsidRPr="00B65BBA">
        <w:t>[43]</w:t>
      </w:r>
      <w:r>
        <w:fldChar w:fldCharType="end"/>
      </w:r>
      <w:r>
        <w:t xml:space="preserve">, adjusted for censored data. When applied to the test data set, a pair of patients is considered concordant if the risk of the event predicted by a model is lower for the patient who experiences the event at a later time point. The concordance probability (C-index) is the frequency of concordant pairs among all pairs of subjects. It can be used to measure and compare the discriminative power of a risk prediction models. In this setting, the concordance probabilities are weighted by the inverse of the probability of censoring in order to adjust for right censoring. Cross-validation based on bootstrap resampling or bootstrap subsampling can be applied to assess the discriminative power of various modelling strategies on the same set of data. While useful as an overall model performance measure, the CI is less useful for model tuning in which features are added and removed as small changes in predictive power are difficult to detect. </w:t>
      </w:r>
    </w:p>
    <w:p w:rsidR="000E28C0" w:rsidRDefault="000E28C0" w:rsidP="00FB28B4">
      <w:pPr>
        <w:pStyle w:val="Heading1"/>
      </w:pPr>
      <w:r>
        <w:t>Current Model Performance</w:t>
      </w:r>
    </w:p>
    <w:p w:rsidR="003E4954" w:rsidRDefault="000E28C0" w:rsidP="00FB28B4">
      <w:pPr>
        <w:pStyle w:val="Paragraph"/>
      </w:pPr>
      <w:r>
        <w:t>The current iteration of the model was the set of 9,461 care spells between 2013-01-01 and 2014-09-17 described earlier. The training set included 7,095 cases, with the remaining 2,366 al</w:t>
      </w:r>
      <w:r w:rsidR="00827E2C">
        <w:t xml:space="preserve">located to the test set. </w:t>
      </w:r>
      <w:r w:rsidR="00827E2C">
        <w:fldChar w:fldCharType="begin"/>
      </w:r>
      <w:r w:rsidR="00827E2C">
        <w:instrText xml:space="preserve"> REF _Ref434577049 \h </w:instrText>
      </w:r>
      <w:r w:rsidR="00827E2C">
        <w:fldChar w:fldCharType="separate"/>
      </w:r>
      <w:r w:rsidR="00827E2C" w:rsidRPr="00827E2C">
        <w:t>Figure 1</w:t>
      </w:r>
      <w:r w:rsidR="00827E2C">
        <w:fldChar w:fldCharType="end"/>
      </w:r>
      <w:r w:rsidR="00827E2C">
        <w:t xml:space="preserve"> </w:t>
      </w:r>
      <w:r>
        <w:t>presents a graph of the C-index between days 1 and 60 for the current version of the predictive algorithm. The reference model is the non-parametric Kaplan-Meier estimator. The RSF model outperforms the reference model in all but a small range of days. Performance of both models is difficult to ascertain within the first five days due to the small number of cases where patients were readmitted within that time period.</w:t>
      </w:r>
    </w:p>
    <w:p w:rsidR="000E28C0" w:rsidRPr="000E28C0" w:rsidRDefault="000E28C0" w:rsidP="000E28C0">
      <w:pPr>
        <w:rPr>
          <w:lang w:eastAsia="en-GB"/>
        </w:rPr>
      </w:pPr>
    </w:p>
    <w:p w:rsidR="00F41AA3" w:rsidRDefault="00755AF7" w:rsidP="00FB28B4">
      <w:pPr>
        <w:keepNext/>
        <w:jc w:val="center"/>
      </w:pPr>
      <w:r>
        <w:rPr>
          <w:lang w:eastAsia="en-GB"/>
        </w:rPr>
        <w:br w:type="page"/>
      </w:r>
      <w:r w:rsidR="000E28C0">
        <w:rPr>
          <w:noProof/>
        </w:rPr>
        <w:lastRenderedPageBreak/>
        <w:drawing>
          <wp:inline distT="0" distB="0" distL="0" distR="0" wp14:anchorId="07EF5F1D" wp14:editId="05209CE0">
            <wp:extent cx="4846320" cy="3726180"/>
            <wp:effectExtent l="0" t="0" r="11430" b="266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55AF7" w:rsidRPr="00827E2C" w:rsidRDefault="00F41AA3" w:rsidP="00827E2C">
      <w:pPr>
        <w:pStyle w:val="Caption"/>
      </w:pPr>
      <w:bookmarkStart w:id="1" w:name="_Ref434577049"/>
      <w:r w:rsidRPr="00827E2C">
        <w:t xml:space="preserve">Figure </w:t>
      </w:r>
      <w:fldSimple w:instr=" SEQ Figure \* ARABIC ">
        <w:r w:rsidRPr="00827E2C">
          <w:t>1</w:t>
        </w:r>
      </w:fldSimple>
      <w:bookmarkEnd w:id="1"/>
      <w:r w:rsidRPr="00827E2C">
        <w:t>: Model Performance</w:t>
      </w:r>
    </w:p>
    <w:p w:rsidR="000E28C0" w:rsidRDefault="000E28C0">
      <w:pPr>
        <w:rPr>
          <w:lang w:eastAsia="en-GB"/>
        </w:rPr>
      </w:pPr>
      <w:r>
        <w:rPr>
          <w:lang w:eastAsia="en-GB"/>
        </w:rPr>
        <w:br w:type="page"/>
      </w:r>
    </w:p>
    <w:p w:rsidR="000E28C0" w:rsidRDefault="00FB28B4" w:rsidP="00FB28B4">
      <w:pPr>
        <w:pStyle w:val="Heading1"/>
      </w:pPr>
      <w:r>
        <w:lastRenderedPageBreak/>
        <w:t>References</w:t>
      </w:r>
      <w:bookmarkStart w:id="2" w:name="_GoBack"/>
      <w:bookmarkEnd w:id="2"/>
      <w:r w:rsidR="000E28C0">
        <w:br/>
      </w:r>
    </w:p>
    <w:p w:rsidR="00F41AA3" w:rsidRPr="00F41AA3" w:rsidRDefault="00755AF7" w:rsidP="00F41AA3">
      <w:pPr>
        <w:pStyle w:val="Bibliography"/>
        <w:rPr>
          <w:rFonts w:ascii="Calibri" w:hAnsi="Calibri"/>
        </w:rPr>
      </w:pPr>
      <w:r>
        <w:rPr>
          <w:lang w:eastAsia="en-GB"/>
        </w:rPr>
        <w:fldChar w:fldCharType="begin"/>
      </w:r>
      <w:r w:rsidR="00F41AA3">
        <w:rPr>
          <w:lang w:eastAsia="en-GB"/>
        </w:rPr>
        <w:instrText xml:space="preserve"> ADDIN ZOTERO_BIBL {"custom":[]} CSL_BIBLIOGRAPHY </w:instrText>
      </w:r>
      <w:r>
        <w:rPr>
          <w:lang w:eastAsia="en-GB"/>
        </w:rPr>
        <w:fldChar w:fldCharType="separate"/>
      </w:r>
      <w:r w:rsidR="00F41AA3" w:rsidRPr="00F41AA3">
        <w:rPr>
          <w:rFonts w:ascii="Calibri" w:hAnsi="Calibri"/>
        </w:rPr>
        <w:t>[1]</w:t>
      </w:r>
      <w:r w:rsidR="00F41AA3" w:rsidRPr="00F41AA3">
        <w:rPr>
          <w:rFonts w:ascii="Calibri" w:hAnsi="Calibri"/>
        </w:rPr>
        <w:tab/>
        <w:t xml:space="preserve">S. F. Jencks, M. V. Williams, and E. A. Coleman, “Rehospitalizations among Patients in the Medicare Fee-for-Service Program,” </w:t>
      </w:r>
      <w:r w:rsidR="00F41AA3" w:rsidRPr="00F41AA3">
        <w:rPr>
          <w:rFonts w:ascii="Calibri" w:hAnsi="Calibri"/>
          <w:i/>
          <w:iCs/>
        </w:rPr>
        <w:t>N. Engl. J. Med.</w:t>
      </w:r>
      <w:r w:rsidR="00F41AA3" w:rsidRPr="00F41AA3">
        <w:rPr>
          <w:rFonts w:ascii="Calibri" w:hAnsi="Calibri"/>
        </w:rPr>
        <w:t>, vol. 360, no. 14, pp. 1418–1428, Apr. 2009.</w:t>
      </w:r>
    </w:p>
    <w:p w:rsidR="00F41AA3" w:rsidRPr="00F41AA3" w:rsidRDefault="00F41AA3" w:rsidP="00F41AA3">
      <w:pPr>
        <w:pStyle w:val="Bibliography"/>
        <w:rPr>
          <w:rFonts w:ascii="Calibri" w:hAnsi="Calibri"/>
        </w:rPr>
      </w:pPr>
      <w:r w:rsidRPr="00F41AA3">
        <w:rPr>
          <w:rFonts w:ascii="Calibri" w:hAnsi="Calibri"/>
        </w:rPr>
        <w:t>[2]</w:t>
      </w:r>
      <w:r w:rsidRPr="00F41AA3">
        <w:rPr>
          <w:rFonts w:ascii="Calibri" w:hAnsi="Calibri"/>
        </w:rPr>
        <w:tab/>
        <w:t xml:space="preserve">H. M. Krumholz, A. R. Merrill, E. M. Schone, G. C. Schreiner, J. Chen, E. H. Bradley, Y. Wang, Y. Wang, Z. Lin, B. M. Straube, M. T. Rapp, S.-L. T. Normand, and E. E. Drye, “Patterns of Hospital Performance in Acute Myocardial Infarction and Heart Failure 30-Day Mortality and Readmission,” </w:t>
      </w:r>
      <w:r w:rsidRPr="00F41AA3">
        <w:rPr>
          <w:rFonts w:ascii="Calibri" w:hAnsi="Calibri"/>
          <w:i/>
          <w:iCs/>
        </w:rPr>
        <w:t>Circ. Cardiovasc. Qual. Outcomes</w:t>
      </w:r>
      <w:r w:rsidRPr="00F41AA3">
        <w:rPr>
          <w:rFonts w:ascii="Calibri" w:hAnsi="Calibri"/>
        </w:rPr>
        <w:t>, vol. 2, no. 5, pp. 407–413, Sep. 2009.</w:t>
      </w:r>
    </w:p>
    <w:p w:rsidR="00F41AA3" w:rsidRPr="00F41AA3" w:rsidRDefault="00F41AA3" w:rsidP="00F41AA3">
      <w:pPr>
        <w:pStyle w:val="Bibliography"/>
        <w:rPr>
          <w:rFonts w:ascii="Calibri" w:hAnsi="Calibri"/>
        </w:rPr>
      </w:pPr>
      <w:r w:rsidRPr="00F41AA3">
        <w:rPr>
          <w:rFonts w:ascii="Calibri" w:hAnsi="Calibri"/>
        </w:rPr>
        <w:t>[3]</w:t>
      </w:r>
      <w:r w:rsidRPr="00F41AA3">
        <w:rPr>
          <w:rFonts w:ascii="Calibri" w:hAnsi="Calibri"/>
        </w:rPr>
        <w:tab/>
        <w:t xml:space="preserve">D. Kansagara, H. Englander, A. Salanitro, D. Kagen, C. Theobald, M. Freeman, and S. Kripalani, </w:t>
      </w:r>
      <w:r w:rsidRPr="00F41AA3">
        <w:rPr>
          <w:rFonts w:ascii="Calibri" w:hAnsi="Calibri"/>
          <w:i/>
          <w:iCs/>
        </w:rPr>
        <w:t>Risk Prediction Models for Hospital Readmission: A Systematic Review</w:t>
      </w:r>
      <w:r w:rsidRPr="00F41AA3">
        <w:rPr>
          <w:rFonts w:ascii="Calibri" w:hAnsi="Calibri"/>
        </w:rPr>
        <w:t>. Washington (DC): Department of Veterans Affairs (US), 2011.</w:t>
      </w:r>
    </w:p>
    <w:p w:rsidR="00F41AA3" w:rsidRPr="00F41AA3" w:rsidRDefault="00F41AA3" w:rsidP="00F41AA3">
      <w:pPr>
        <w:pStyle w:val="Bibliography"/>
        <w:rPr>
          <w:rFonts w:ascii="Calibri" w:hAnsi="Calibri"/>
        </w:rPr>
      </w:pPr>
      <w:r w:rsidRPr="00F41AA3">
        <w:rPr>
          <w:rFonts w:ascii="Calibri" w:hAnsi="Calibri"/>
        </w:rPr>
        <w:t>[4]</w:t>
      </w:r>
      <w:r w:rsidRPr="00F41AA3">
        <w:rPr>
          <w:rFonts w:ascii="Calibri" w:hAnsi="Calibri"/>
        </w:rPr>
        <w:tab/>
        <w:t xml:space="preserve">M. T. Kassin, R. M. Owen, S. Perez, I. Leeds, J. C. Cox, K. Schnier, V. Sadiraj, and J. F. Sweeney, “Risk Factors for 30-Day Hospital Readmission among General Surgery Patients,” </w:t>
      </w:r>
      <w:r w:rsidRPr="00F41AA3">
        <w:rPr>
          <w:rFonts w:ascii="Calibri" w:hAnsi="Calibri"/>
          <w:i/>
          <w:iCs/>
        </w:rPr>
        <w:t>J. Am. Coll. Surg.</w:t>
      </w:r>
      <w:r w:rsidRPr="00F41AA3">
        <w:rPr>
          <w:rFonts w:ascii="Calibri" w:hAnsi="Calibri"/>
        </w:rPr>
        <w:t>, vol. 215, no. 3, pp. 322–330, Sep. 2012.</w:t>
      </w:r>
    </w:p>
    <w:p w:rsidR="00F41AA3" w:rsidRPr="00F41AA3" w:rsidRDefault="00F41AA3" w:rsidP="00F41AA3">
      <w:pPr>
        <w:pStyle w:val="Bibliography"/>
        <w:rPr>
          <w:rFonts w:ascii="Calibri" w:hAnsi="Calibri"/>
        </w:rPr>
      </w:pPr>
      <w:r w:rsidRPr="00F41AA3">
        <w:rPr>
          <w:rFonts w:ascii="Calibri" w:hAnsi="Calibri"/>
        </w:rPr>
        <w:t>[5]</w:t>
      </w:r>
      <w:r w:rsidRPr="00F41AA3">
        <w:rPr>
          <w:rFonts w:ascii="Calibri" w:hAnsi="Calibri"/>
        </w:rPr>
        <w:tab/>
        <w:t xml:space="preserve">B. J. M. Ruben Amarasingham, “An automated model to identify heart failure patients at risk for 30-day readmission or death using electronic medical record data.,” </w:t>
      </w:r>
      <w:r w:rsidRPr="00F41AA3">
        <w:rPr>
          <w:rFonts w:ascii="Calibri" w:hAnsi="Calibri"/>
          <w:i/>
          <w:iCs/>
        </w:rPr>
        <w:t>Med. Care</w:t>
      </w:r>
      <w:r w:rsidRPr="00F41AA3">
        <w:rPr>
          <w:rFonts w:ascii="Calibri" w:hAnsi="Calibri"/>
        </w:rPr>
        <w:t>, vol. 48, no. 11, pp. 981–8, 2010.</w:t>
      </w:r>
    </w:p>
    <w:p w:rsidR="00F41AA3" w:rsidRPr="00F41AA3" w:rsidRDefault="00F41AA3" w:rsidP="00F41AA3">
      <w:pPr>
        <w:pStyle w:val="Bibliography"/>
        <w:rPr>
          <w:rFonts w:ascii="Calibri" w:hAnsi="Calibri"/>
        </w:rPr>
      </w:pPr>
      <w:r w:rsidRPr="00F41AA3">
        <w:rPr>
          <w:rFonts w:ascii="Calibri" w:hAnsi="Calibri"/>
        </w:rPr>
        <w:t>[6]</w:t>
      </w:r>
      <w:r w:rsidRPr="00F41AA3">
        <w:rPr>
          <w:rFonts w:ascii="Calibri" w:hAnsi="Calibri"/>
        </w:rPr>
        <w:tab/>
        <w:t xml:space="preserve">P. J. Kaboli, J. T. Go, J. Hockenberry, J. M. Glasgow, S. R. Johnson, G. E. Rosenthal, M. P. Jones, and M. Vaughan-Sarrazin, “Associations Between Reduced Hospital Length of Stay and 30-Day Readmission Rate and Mortality: 14-Year Experience in 129 Veterans Affairs Hospitals,” </w:t>
      </w:r>
      <w:r w:rsidRPr="00F41AA3">
        <w:rPr>
          <w:rFonts w:ascii="Calibri" w:hAnsi="Calibri"/>
          <w:i/>
          <w:iCs/>
        </w:rPr>
        <w:t>Ann. Intern. Med.</w:t>
      </w:r>
      <w:r w:rsidRPr="00F41AA3">
        <w:rPr>
          <w:rFonts w:ascii="Calibri" w:hAnsi="Calibri"/>
        </w:rPr>
        <w:t>, vol. 157, no. 12, p. 837, Dec. 2012.</w:t>
      </w:r>
    </w:p>
    <w:p w:rsidR="00F41AA3" w:rsidRPr="00F41AA3" w:rsidRDefault="00F41AA3" w:rsidP="00F41AA3">
      <w:pPr>
        <w:pStyle w:val="Bibliography"/>
        <w:rPr>
          <w:rFonts w:ascii="Calibri" w:hAnsi="Calibri"/>
        </w:rPr>
      </w:pPr>
      <w:r w:rsidRPr="00F41AA3">
        <w:rPr>
          <w:rFonts w:ascii="Calibri" w:hAnsi="Calibri"/>
        </w:rPr>
        <w:t>[7]</w:t>
      </w:r>
      <w:r w:rsidRPr="00F41AA3">
        <w:rPr>
          <w:rFonts w:ascii="Calibri" w:hAnsi="Calibri"/>
        </w:rPr>
        <w:tab/>
        <w:t xml:space="preserve">J. M. Glasgow, M. Vaughn-Sarrazin, and P. J. Kaboli, “Leaving Against Medical Advice (AMA): Risk of 30-Day Mortality and Hospital Readmission,” </w:t>
      </w:r>
      <w:r w:rsidRPr="00F41AA3">
        <w:rPr>
          <w:rFonts w:ascii="Calibri" w:hAnsi="Calibri"/>
          <w:i/>
          <w:iCs/>
        </w:rPr>
        <w:t>J. Gen. Intern. Med.</w:t>
      </w:r>
      <w:r w:rsidRPr="00F41AA3">
        <w:rPr>
          <w:rFonts w:ascii="Calibri" w:hAnsi="Calibri"/>
        </w:rPr>
        <w:t>, vol. 25, no. 9, pp. 926–929, Sep. 2010.</w:t>
      </w:r>
    </w:p>
    <w:p w:rsidR="00F41AA3" w:rsidRPr="00F41AA3" w:rsidRDefault="00F41AA3" w:rsidP="00F41AA3">
      <w:pPr>
        <w:pStyle w:val="Bibliography"/>
        <w:rPr>
          <w:rFonts w:ascii="Calibri" w:hAnsi="Calibri"/>
        </w:rPr>
      </w:pPr>
      <w:r w:rsidRPr="00F41AA3">
        <w:rPr>
          <w:rFonts w:ascii="Calibri" w:hAnsi="Calibri"/>
        </w:rPr>
        <w:t>[8]</w:t>
      </w:r>
      <w:r w:rsidRPr="00F41AA3">
        <w:rPr>
          <w:rFonts w:ascii="Calibri" w:hAnsi="Calibri"/>
        </w:rPr>
        <w:tab/>
        <w:t xml:space="preserve">C. van Walraven, I. A. Dhalla, C. Bell, E. Etchells, I. G. Stiell, K. Zarnke, P. C. Austin, and A. J. Forster, “Derivation and validation of an index to predict early death or unplanned readmission after discharge from hospital to the community,” </w:t>
      </w:r>
      <w:r w:rsidRPr="00F41AA3">
        <w:rPr>
          <w:rFonts w:ascii="Calibri" w:hAnsi="Calibri"/>
          <w:i/>
          <w:iCs/>
        </w:rPr>
        <w:t>Can. Med. Assoc. J.</w:t>
      </w:r>
      <w:r w:rsidRPr="00F41AA3">
        <w:rPr>
          <w:rFonts w:ascii="Calibri" w:hAnsi="Calibri"/>
        </w:rPr>
        <w:t>, vol. 182, no. 6, pp. 551–557, Apr. 2010.</w:t>
      </w:r>
    </w:p>
    <w:p w:rsidR="00F41AA3" w:rsidRPr="00F41AA3" w:rsidRDefault="00F41AA3" w:rsidP="00F41AA3">
      <w:pPr>
        <w:pStyle w:val="Bibliography"/>
        <w:rPr>
          <w:rFonts w:ascii="Calibri" w:hAnsi="Calibri"/>
        </w:rPr>
      </w:pPr>
      <w:r w:rsidRPr="00F41AA3">
        <w:rPr>
          <w:rFonts w:ascii="Calibri" w:hAnsi="Calibri"/>
        </w:rPr>
        <w:t>[9]</w:t>
      </w:r>
      <w:r w:rsidRPr="00F41AA3">
        <w:rPr>
          <w:rFonts w:ascii="Calibri" w:hAnsi="Calibri"/>
        </w:rPr>
        <w:tab/>
        <w:t xml:space="preserve">A. Gruneir, I. A. Dhalla, C. van Walraven, H. D. Fischer, X. Camacho, P. A. Rochon, and G. M. Anderson, “Unplanned readmissions after hospital discharge among patients identified as being at high risk for readmission using a validated predictive algorithm,” </w:t>
      </w:r>
      <w:r w:rsidRPr="00F41AA3">
        <w:rPr>
          <w:rFonts w:ascii="Calibri" w:hAnsi="Calibri"/>
          <w:i/>
          <w:iCs/>
        </w:rPr>
        <w:t>Open Med.</w:t>
      </w:r>
      <w:r w:rsidRPr="00F41AA3">
        <w:rPr>
          <w:rFonts w:ascii="Calibri" w:hAnsi="Calibri"/>
        </w:rPr>
        <w:t>, vol. 5, no. 2, pp. e104–e111, 2011.</w:t>
      </w:r>
    </w:p>
    <w:p w:rsidR="00F41AA3" w:rsidRPr="00F41AA3" w:rsidRDefault="00F41AA3" w:rsidP="00F41AA3">
      <w:pPr>
        <w:pStyle w:val="Bibliography"/>
        <w:rPr>
          <w:rFonts w:ascii="Calibri" w:hAnsi="Calibri"/>
        </w:rPr>
      </w:pPr>
      <w:r w:rsidRPr="00F41AA3">
        <w:rPr>
          <w:rFonts w:ascii="Calibri" w:hAnsi="Calibri"/>
        </w:rPr>
        <w:t>[10]</w:t>
      </w:r>
      <w:r w:rsidRPr="00F41AA3">
        <w:rPr>
          <w:rFonts w:ascii="Calibri" w:hAnsi="Calibri"/>
        </w:rPr>
        <w:tab/>
        <w:t xml:space="preserve">P. E. Cotter, V. K. Bhalla, S. J. Wallis, and R. W. S. Biram, “Predicting readmissions: poor performance of the LACE index in an older UK population,” </w:t>
      </w:r>
      <w:r w:rsidRPr="00F41AA3">
        <w:rPr>
          <w:rFonts w:ascii="Calibri" w:hAnsi="Calibri"/>
          <w:i/>
          <w:iCs/>
        </w:rPr>
        <w:t>Age Ageing</w:t>
      </w:r>
      <w:r w:rsidRPr="00F41AA3">
        <w:rPr>
          <w:rFonts w:ascii="Calibri" w:hAnsi="Calibri"/>
        </w:rPr>
        <w:t>, vol. 41, no. 6, pp. 784–789, Nov. 2012.</w:t>
      </w:r>
    </w:p>
    <w:p w:rsidR="00F41AA3" w:rsidRPr="00F41AA3" w:rsidRDefault="00F41AA3" w:rsidP="00F41AA3">
      <w:pPr>
        <w:pStyle w:val="Bibliography"/>
        <w:rPr>
          <w:rFonts w:ascii="Calibri" w:hAnsi="Calibri"/>
        </w:rPr>
      </w:pPr>
      <w:r w:rsidRPr="00F41AA3">
        <w:rPr>
          <w:rFonts w:ascii="Calibri" w:hAnsi="Calibri"/>
        </w:rPr>
        <w:t>[11]</w:t>
      </w:r>
      <w:r w:rsidRPr="00F41AA3">
        <w:rPr>
          <w:rFonts w:ascii="Calibri" w:hAnsi="Calibri"/>
        </w:rPr>
        <w:tab/>
        <w:t xml:space="preserve">C. van Walraven, J. Wong, and A. J. Forster, “LACE+ index: extension of a validated index to predict early death or urgent readmission after hospital discharge using administrative data,” </w:t>
      </w:r>
      <w:r w:rsidRPr="00F41AA3">
        <w:rPr>
          <w:rFonts w:ascii="Calibri" w:hAnsi="Calibri"/>
          <w:i/>
          <w:iCs/>
        </w:rPr>
        <w:t>Open Med.</w:t>
      </w:r>
      <w:r w:rsidRPr="00F41AA3">
        <w:rPr>
          <w:rFonts w:ascii="Calibri" w:hAnsi="Calibri"/>
        </w:rPr>
        <w:t>, vol. 6, no. 3, pp. e80–e90, 2012.</w:t>
      </w:r>
    </w:p>
    <w:p w:rsidR="00F41AA3" w:rsidRPr="00F41AA3" w:rsidRDefault="00F41AA3" w:rsidP="00F41AA3">
      <w:pPr>
        <w:pStyle w:val="Bibliography"/>
        <w:rPr>
          <w:rFonts w:ascii="Calibri" w:hAnsi="Calibri"/>
        </w:rPr>
      </w:pPr>
      <w:r w:rsidRPr="00F41AA3">
        <w:rPr>
          <w:rFonts w:ascii="Calibri" w:hAnsi="Calibri"/>
        </w:rPr>
        <w:t>[12]</w:t>
      </w:r>
      <w:r w:rsidRPr="00F41AA3">
        <w:rPr>
          <w:rFonts w:ascii="Calibri" w:hAnsi="Calibri"/>
        </w:rPr>
        <w:tab/>
        <w:t xml:space="preserve">J. Donzé, D. Aujesky, D. Williams, and J. L. Schnipper, “Potentially Avoidable 30-Day Hospital Readmissions in Medical Patients: Derivation and Validation of a Prediction Model,” </w:t>
      </w:r>
      <w:r w:rsidRPr="00F41AA3">
        <w:rPr>
          <w:rFonts w:ascii="Calibri" w:hAnsi="Calibri"/>
          <w:i/>
          <w:iCs/>
        </w:rPr>
        <w:t>JAMA Intern. Med.</w:t>
      </w:r>
      <w:r w:rsidRPr="00F41AA3">
        <w:rPr>
          <w:rFonts w:ascii="Calibri" w:hAnsi="Calibri"/>
        </w:rPr>
        <w:t>, vol. 173, no. 8, p. 632, Apr. 2013.</w:t>
      </w:r>
    </w:p>
    <w:p w:rsidR="00F41AA3" w:rsidRPr="00F41AA3" w:rsidRDefault="00F41AA3" w:rsidP="00F41AA3">
      <w:pPr>
        <w:pStyle w:val="Bibliography"/>
        <w:rPr>
          <w:rFonts w:ascii="Calibri" w:hAnsi="Calibri"/>
        </w:rPr>
      </w:pPr>
      <w:r w:rsidRPr="00F41AA3">
        <w:rPr>
          <w:rFonts w:ascii="Calibri" w:hAnsi="Calibri"/>
        </w:rPr>
        <w:t>[13]</w:t>
      </w:r>
      <w:r w:rsidRPr="00F41AA3">
        <w:rPr>
          <w:rFonts w:ascii="Calibri" w:hAnsi="Calibri"/>
        </w:rPr>
        <w:tab/>
        <w:t>Northrup Grumman Corporation Information Systems, “Accountable Care Organization – Operational System (ACO-OS) Claim and Claim Line Feed (CCLF) Information Packet (IP) – June Release,” Centers for Medicare &amp; Medicaid Services, NGC.ICDA.0301.04.0.0713, Jul. 2013.</w:t>
      </w:r>
    </w:p>
    <w:p w:rsidR="00F41AA3" w:rsidRPr="00F41AA3" w:rsidRDefault="00F41AA3" w:rsidP="00F41AA3">
      <w:pPr>
        <w:pStyle w:val="Bibliography"/>
        <w:rPr>
          <w:rFonts w:ascii="Calibri" w:hAnsi="Calibri"/>
        </w:rPr>
      </w:pPr>
      <w:r w:rsidRPr="00F41AA3">
        <w:rPr>
          <w:rFonts w:ascii="Calibri" w:hAnsi="Calibri"/>
        </w:rPr>
        <w:t>[14]</w:t>
      </w:r>
      <w:r w:rsidRPr="00F41AA3">
        <w:rPr>
          <w:rFonts w:ascii="Calibri" w:hAnsi="Calibri"/>
        </w:rPr>
        <w:tab/>
        <w:t>CMS.gov, “Readmissions Reduction Program.” CMS, 04-Nov-2015.</w:t>
      </w:r>
    </w:p>
    <w:p w:rsidR="00F41AA3" w:rsidRPr="00F41AA3" w:rsidRDefault="00F41AA3" w:rsidP="00F41AA3">
      <w:pPr>
        <w:pStyle w:val="Bibliography"/>
        <w:rPr>
          <w:rFonts w:ascii="Calibri" w:hAnsi="Calibri"/>
        </w:rPr>
      </w:pPr>
      <w:r w:rsidRPr="00F41AA3">
        <w:rPr>
          <w:rFonts w:ascii="Calibri" w:hAnsi="Calibri"/>
        </w:rPr>
        <w:t>[15]</w:t>
      </w:r>
      <w:r w:rsidRPr="00F41AA3">
        <w:rPr>
          <w:rFonts w:ascii="Calibri" w:hAnsi="Calibri"/>
        </w:rPr>
        <w:tab/>
        <w:t>“Well Virginia ACO.” Well Virginia.</w:t>
      </w:r>
    </w:p>
    <w:p w:rsidR="00F41AA3" w:rsidRPr="00F41AA3" w:rsidRDefault="00F41AA3" w:rsidP="00F41AA3">
      <w:pPr>
        <w:pStyle w:val="Bibliography"/>
        <w:rPr>
          <w:rFonts w:ascii="Calibri" w:hAnsi="Calibri"/>
        </w:rPr>
      </w:pPr>
      <w:r w:rsidRPr="00F41AA3">
        <w:rPr>
          <w:rFonts w:ascii="Calibri" w:hAnsi="Calibri"/>
        </w:rPr>
        <w:t>[16]</w:t>
      </w:r>
      <w:r w:rsidRPr="00F41AA3">
        <w:rPr>
          <w:rFonts w:ascii="Calibri" w:hAnsi="Calibri"/>
        </w:rPr>
        <w:tab/>
        <w:t xml:space="preserve">A. I. Arbaje, J. L. Wolff, Q. Yu, N. R. Powe, G. F. Anderson, and C. Boult, “Postdischarge Environmental and Socioeconomic Factors and the Likelihood of Early Hospital Readmission Among </w:t>
      </w:r>
      <w:r w:rsidRPr="00F41AA3">
        <w:rPr>
          <w:rFonts w:ascii="Calibri" w:hAnsi="Calibri"/>
        </w:rPr>
        <w:lastRenderedPageBreak/>
        <w:t xml:space="preserve">Community-Dwelling Medicare Beneficiaries,” </w:t>
      </w:r>
      <w:r w:rsidRPr="00F41AA3">
        <w:rPr>
          <w:rFonts w:ascii="Calibri" w:hAnsi="Calibri"/>
          <w:i/>
          <w:iCs/>
        </w:rPr>
        <w:t>The Gerontologist</w:t>
      </w:r>
      <w:r w:rsidRPr="00F41AA3">
        <w:rPr>
          <w:rFonts w:ascii="Calibri" w:hAnsi="Calibri"/>
        </w:rPr>
        <w:t>, vol. 48, no. 4, pp. 495–504, Aug. 2008.</w:t>
      </w:r>
    </w:p>
    <w:p w:rsidR="00F41AA3" w:rsidRPr="00F41AA3" w:rsidRDefault="00F41AA3" w:rsidP="00F41AA3">
      <w:pPr>
        <w:pStyle w:val="Bibliography"/>
        <w:rPr>
          <w:rFonts w:ascii="Calibri" w:hAnsi="Calibri"/>
        </w:rPr>
      </w:pPr>
      <w:r w:rsidRPr="00F41AA3">
        <w:rPr>
          <w:rFonts w:ascii="Calibri" w:hAnsi="Calibri"/>
        </w:rPr>
        <w:t>[17]</w:t>
      </w:r>
      <w:r w:rsidRPr="00F41AA3">
        <w:rPr>
          <w:rFonts w:ascii="Calibri" w:hAnsi="Calibri"/>
        </w:rPr>
        <w:tab/>
        <w:t xml:space="preserve">S. S. Rathore, F. A. Masoudi, Y. Wang, J. P. Curtis, J. M. Foody, E. P. Havranek, and H. M. Krumholz, “Socioeconomic status, treatment, and outcomes among elderly patients hospitalized with heart failure: Findings from the National Heart Failure Project,” </w:t>
      </w:r>
      <w:r w:rsidRPr="00F41AA3">
        <w:rPr>
          <w:rFonts w:ascii="Calibri" w:hAnsi="Calibri"/>
          <w:i/>
          <w:iCs/>
        </w:rPr>
        <w:t>Am. Heart J.</w:t>
      </w:r>
      <w:r w:rsidRPr="00F41AA3">
        <w:rPr>
          <w:rFonts w:ascii="Calibri" w:hAnsi="Calibri"/>
        </w:rPr>
        <w:t>, vol. 152, no. 2, pp. 371–378, Aug. 2006.</w:t>
      </w:r>
    </w:p>
    <w:p w:rsidR="00F41AA3" w:rsidRPr="00F41AA3" w:rsidRDefault="00F41AA3" w:rsidP="00F41AA3">
      <w:pPr>
        <w:pStyle w:val="Bibliography"/>
        <w:rPr>
          <w:rFonts w:ascii="Calibri" w:hAnsi="Calibri"/>
        </w:rPr>
      </w:pPr>
      <w:r w:rsidRPr="00F41AA3">
        <w:rPr>
          <w:rFonts w:ascii="Calibri" w:hAnsi="Calibri"/>
        </w:rPr>
        <w:t>[18]</w:t>
      </w:r>
      <w:r w:rsidRPr="00F41AA3">
        <w:rPr>
          <w:rFonts w:ascii="Calibri" w:hAnsi="Calibri"/>
        </w:rPr>
        <w:tab/>
        <w:t xml:space="preserve">J. Hu, M. D. Gonsahn, and D. R. Nerenz, “Socioeconomic Status And Readmissions: Evidence From An Urban Teaching Hospital,” </w:t>
      </w:r>
      <w:r w:rsidRPr="00F41AA3">
        <w:rPr>
          <w:rFonts w:ascii="Calibri" w:hAnsi="Calibri"/>
          <w:i/>
          <w:iCs/>
        </w:rPr>
        <w:t>Health Aff. (Millwood)</w:t>
      </w:r>
      <w:r w:rsidRPr="00F41AA3">
        <w:rPr>
          <w:rFonts w:ascii="Calibri" w:hAnsi="Calibri"/>
        </w:rPr>
        <w:t>, vol. 33, no. 5, pp. 778–785, May 2014.</w:t>
      </w:r>
    </w:p>
    <w:p w:rsidR="00F41AA3" w:rsidRPr="00F41AA3" w:rsidRDefault="00F41AA3" w:rsidP="00F41AA3">
      <w:pPr>
        <w:pStyle w:val="Bibliography"/>
        <w:rPr>
          <w:rFonts w:ascii="Calibri" w:hAnsi="Calibri"/>
        </w:rPr>
      </w:pPr>
      <w:r w:rsidRPr="00F41AA3">
        <w:rPr>
          <w:rFonts w:ascii="Calibri" w:hAnsi="Calibri"/>
        </w:rPr>
        <w:t>[19]</w:t>
      </w:r>
      <w:r w:rsidRPr="00F41AA3">
        <w:rPr>
          <w:rFonts w:ascii="Calibri" w:hAnsi="Calibri"/>
        </w:rPr>
        <w:tab/>
        <w:t>“University of Wisconsin Population Health Institute. County Health Rankings and Roadmaps.” 2015.</w:t>
      </w:r>
    </w:p>
    <w:p w:rsidR="00F41AA3" w:rsidRPr="00F41AA3" w:rsidRDefault="00F41AA3" w:rsidP="00F41AA3">
      <w:pPr>
        <w:pStyle w:val="Bibliography"/>
        <w:rPr>
          <w:rFonts w:ascii="Calibri" w:hAnsi="Calibri"/>
        </w:rPr>
      </w:pPr>
      <w:r w:rsidRPr="00F41AA3">
        <w:rPr>
          <w:rFonts w:ascii="Calibri" w:hAnsi="Calibri"/>
        </w:rPr>
        <w:t>[20]</w:t>
      </w:r>
      <w:r w:rsidRPr="00F41AA3">
        <w:rPr>
          <w:rFonts w:ascii="Calibri" w:hAnsi="Calibri"/>
        </w:rPr>
        <w:tab/>
      </w:r>
      <w:r w:rsidRPr="00F41AA3">
        <w:rPr>
          <w:rFonts w:ascii="Calibri" w:hAnsi="Calibri"/>
          <w:i/>
          <w:iCs/>
        </w:rPr>
        <w:t>Census Block Conversions API</w:t>
      </w:r>
      <w:r w:rsidRPr="00F41AA3">
        <w:rPr>
          <w:rFonts w:ascii="Calibri" w:hAnsi="Calibri"/>
        </w:rPr>
        <w:t>. Federal Communications Commision, 2009.</w:t>
      </w:r>
    </w:p>
    <w:p w:rsidR="00F41AA3" w:rsidRPr="00F41AA3" w:rsidRDefault="00F41AA3" w:rsidP="00F41AA3">
      <w:pPr>
        <w:pStyle w:val="Bibliography"/>
        <w:rPr>
          <w:rFonts w:ascii="Calibri" w:hAnsi="Calibri"/>
        </w:rPr>
      </w:pPr>
      <w:r w:rsidRPr="00F41AA3">
        <w:rPr>
          <w:rFonts w:ascii="Calibri" w:hAnsi="Calibri"/>
        </w:rPr>
        <w:t>[21]</w:t>
      </w:r>
      <w:r w:rsidRPr="00F41AA3">
        <w:rPr>
          <w:rFonts w:ascii="Calibri" w:hAnsi="Calibri"/>
        </w:rPr>
        <w:tab/>
        <w:t xml:space="preserve">M. Anderson, D. Antenucci, V. Bittorf, M. Burgess, M. J. Cafarella, A. Kumar, F. Niu, Y. Park, C. Ré, and C. Zhang, “Brainwash: A Data System for Feature Engineering.,” in </w:t>
      </w:r>
      <w:r w:rsidRPr="00F41AA3">
        <w:rPr>
          <w:rFonts w:ascii="Calibri" w:hAnsi="Calibri"/>
          <w:i/>
          <w:iCs/>
        </w:rPr>
        <w:t>CIDR</w:t>
      </w:r>
      <w:r w:rsidRPr="00F41AA3">
        <w:rPr>
          <w:rFonts w:ascii="Calibri" w:hAnsi="Calibri"/>
        </w:rPr>
        <w:t>, 2013.</w:t>
      </w:r>
    </w:p>
    <w:p w:rsidR="00F41AA3" w:rsidRPr="00F41AA3" w:rsidRDefault="00F41AA3" w:rsidP="00F41AA3">
      <w:pPr>
        <w:pStyle w:val="Bibliography"/>
        <w:rPr>
          <w:rFonts w:ascii="Calibri" w:hAnsi="Calibri"/>
        </w:rPr>
      </w:pPr>
      <w:r w:rsidRPr="00F41AA3">
        <w:rPr>
          <w:rFonts w:ascii="Calibri" w:hAnsi="Calibri"/>
        </w:rPr>
        <w:t>[22]</w:t>
      </w:r>
      <w:r w:rsidRPr="00F41AA3">
        <w:rPr>
          <w:rFonts w:ascii="Calibri" w:hAnsi="Calibri"/>
        </w:rPr>
        <w:tab/>
        <w:t xml:space="preserve">M. Kuhn and K. Johnson, </w:t>
      </w:r>
      <w:r w:rsidRPr="00F41AA3">
        <w:rPr>
          <w:rFonts w:ascii="Calibri" w:hAnsi="Calibri"/>
          <w:i/>
          <w:iCs/>
        </w:rPr>
        <w:t>Applied Predictive Modeling</w:t>
      </w:r>
      <w:r w:rsidRPr="00F41AA3">
        <w:rPr>
          <w:rFonts w:ascii="Calibri" w:hAnsi="Calibri"/>
        </w:rPr>
        <w:t>, 2013 edition. New York: Springer, 2013.</w:t>
      </w:r>
    </w:p>
    <w:p w:rsidR="00F41AA3" w:rsidRPr="00F41AA3" w:rsidRDefault="00F41AA3" w:rsidP="00F41AA3">
      <w:pPr>
        <w:pStyle w:val="Bibliography"/>
        <w:rPr>
          <w:rFonts w:ascii="Calibri" w:hAnsi="Calibri"/>
        </w:rPr>
      </w:pPr>
      <w:r w:rsidRPr="00F41AA3">
        <w:rPr>
          <w:rFonts w:ascii="Calibri" w:hAnsi="Calibri"/>
        </w:rPr>
        <w:t>[23]</w:t>
      </w:r>
      <w:r w:rsidRPr="00F41AA3">
        <w:rPr>
          <w:rFonts w:ascii="Calibri" w:hAnsi="Calibri"/>
        </w:rPr>
        <w:tab/>
        <w:t xml:space="preserve">E. T. Lee, </w:t>
      </w:r>
      <w:r w:rsidRPr="00F41AA3">
        <w:rPr>
          <w:rFonts w:ascii="Calibri" w:hAnsi="Calibri"/>
          <w:i/>
          <w:iCs/>
        </w:rPr>
        <w:t>Statistical Methods for Survival Data Analysis</w:t>
      </w:r>
      <w:r w:rsidRPr="00F41AA3">
        <w:rPr>
          <w:rFonts w:ascii="Calibri" w:hAnsi="Calibri"/>
        </w:rPr>
        <w:t>, 3 edition. New York: Wiley-Interscience, 2003.</w:t>
      </w:r>
    </w:p>
    <w:p w:rsidR="00F41AA3" w:rsidRPr="00F41AA3" w:rsidRDefault="00F41AA3" w:rsidP="00F41AA3">
      <w:pPr>
        <w:pStyle w:val="Bibliography"/>
        <w:rPr>
          <w:rFonts w:ascii="Calibri" w:hAnsi="Calibri"/>
        </w:rPr>
      </w:pPr>
      <w:r w:rsidRPr="00F41AA3">
        <w:rPr>
          <w:rFonts w:ascii="Calibri" w:hAnsi="Calibri"/>
        </w:rPr>
        <w:t>[24]</w:t>
      </w:r>
      <w:r w:rsidRPr="00F41AA3">
        <w:rPr>
          <w:rFonts w:ascii="Calibri" w:hAnsi="Calibri"/>
        </w:rPr>
        <w:tab/>
        <w:t xml:space="preserve">M. G. Akritas, “Nonparametric Survival Analysis,” </w:t>
      </w:r>
      <w:r w:rsidRPr="00F41AA3">
        <w:rPr>
          <w:rFonts w:ascii="Calibri" w:hAnsi="Calibri"/>
          <w:i/>
          <w:iCs/>
        </w:rPr>
        <w:t>Stat. Sci.</w:t>
      </w:r>
      <w:r w:rsidRPr="00F41AA3">
        <w:rPr>
          <w:rFonts w:ascii="Calibri" w:hAnsi="Calibri"/>
        </w:rPr>
        <w:t>, vol. 19, no. 4, pp. 615–623, Nov. 2004.</w:t>
      </w:r>
    </w:p>
    <w:p w:rsidR="00F41AA3" w:rsidRPr="00F41AA3" w:rsidRDefault="00F41AA3" w:rsidP="00F41AA3">
      <w:pPr>
        <w:pStyle w:val="Bibliography"/>
        <w:rPr>
          <w:rFonts w:ascii="Calibri" w:hAnsi="Calibri"/>
        </w:rPr>
      </w:pPr>
      <w:r w:rsidRPr="00F41AA3">
        <w:rPr>
          <w:rFonts w:ascii="Calibri" w:hAnsi="Calibri"/>
        </w:rPr>
        <w:t>[25]</w:t>
      </w:r>
      <w:r w:rsidRPr="00F41AA3">
        <w:rPr>
          <w:rFonts w:ascii="Calibri" w:hAnsi="Calibri"/>
        </w:rPr>
        <w:tab/>
        <w:t xml:space="preserve">E. L. Kaplan and P. Meier, “Nonparametric Estimation from Incomplete Observations,” </w:t>
      </w:r>
      <w:r w:rsidRPr="00F41AA3">
        <w:rPr>
          <w:rFonts w:ascii="Calibri" w:hAnsi="Calibri"/>
          <w:i/>
          <w:iCs/>
        </w:rPr>
        <w:t>J. Am. Stat. Assoc.</w:t>
      </w:r>
      <w:r w:rsidRPr="00F41AA3">
        <w:rPr>
          <w:rFonts w:ascii="Calibri" w:hAnsi="Calibri"/>
        </w:rPr>
        <w:t>, vol. 53, no. 282, pp. 457–481, Jun. 1958.</w:t>
      </w:r>
    </w:p>
    <w:p w:rsidR="00F41AA3" w:rsidRPr="00F41AA3" w:rsidRDefault="00F41AA3" w:rsidP="00F41AA3">
      <w:pPr>
        <w:pStyle w:val="Bibliography"/>
        <w:rPr>
          <w:rFonts w:ascii="Calibri" w:hAnsi="Calibri"/>
        </w:rPr>
      </w:pPr>
      <w:r w:rsidRPr="00F41AA3">
        <w:rPr>
          <w:rFonts w:ascii="Calibri" w:hAnsi="Calibri"/>
        </w:rPr>
        <w:t>[26]</w:t>
      </w:r>
      <w:r w:rsidRPr="00F41AA3">
        <w:rPr>
          <w:rFonts w:ascii="Calibri" w:hAnsi="Calibri"/>
        </w:rPr>
        <w:tab/>
        <w:t xml:space="preserve">G. Cybenko, “Approximation by superpositions of a sigmoidal function,” </w:t>
      </w:r>
      <w:r w:rsidRPr="00F41AA3">
        <w:rPr>
          <w:rFonts w:ascii="Calibri" w:hAnsi="Calibri"/>
          <w:i/>
          <w:iCs/>
        </w:rPr>
        <w:t>Math. Control Signals Syst.</w:t>
      </w:r>
      <w:r w:rsidRPr="00F41AA3">
        <w:rPr>
          <w:rFonts w:ascii="Calibri" w:hAnsi="Calibri"/>
        </w:rPr>
        <w:t>, vol. 2, no. 4, pp. 303–314, Dec. 1989.</w:t>
      </w:r>
    </w:p>
    <w:p w:rsidR="00F41AA3" w:rsidRPr="00F41AA3" w:rsidRDefault="00F41AA3" w:rsidP="00F41AA3">
      <w:pPr>
        <w:pStyle w:val="Bibliography"/>
        <w:rPr>
          <w:rFonts w:ascii="Calibri" w:hAnsi="Calibri"/>
        </w:rPr>
      </w:pPr>
      <w:r w:rsidRPr="00F41AA3">
        <w:rPr>
          <w:rFonts w:ascii="Calibri" w:hAnsi="Calibri"/>
        </w:rPr>
        <w:t>[27]</w:t>
      </w:r>
      <w:r w:rsidRPr="00F41AA3">
        <w:rPr>
          <w:rFonts w:ascii="Calibri" w:hAnsi="Calibri"/>
        </w:rPr>
        <w:tab/>
        <w:t xml:space="preserve">L. Breiman, “Random Forests,” </w:t>
      </w:r>
      <w:r w:rsidRPr="00F41AA3">
        <w:rPr>
          <w:rFonts w:ascii="Calibri" w:hAnsi="Calibri"/>
          <w:i/>
          <w:iCs/>
        </w:rPr>
        <w:t>Mach. Learn.</w:t>
      </w:r>
      <w:r w:rsidRPr="00F41AA3">
        <w:rPr>
          <w:rFonts w:ascii="Calibri" w:hAnsi="Calibri"/>
        </w:rPr>
        <w:t>, vol. 45, no. 1, pp. 5–32, Oct. 2001.</w:t>
      </w:r>
    </w:p>
    <w:p w:rsidR="00F41AA3" w:rsidRPr="00F41AA3" w:rsidRDefault="00F41AA3" w:rsidP="00F41AA3">
      <w:pPr>
        <w:pStyle w:val="Bibliography"/>
        <w:rPr>
          <w:rFonts w:ascii="Calibri" w:hAnsi="Calibri"/>
        </w:rPr>
      </w:pPr>
      <w:r w:rsidRPr="00F41AA3">
        <w:rPr>
          <w:rFonts w:ascii="Calibri" w:hAnsi="Calibri"/>
        </w:rPr>
        <w:t>[28]</w:t>
      </w:r>
      <w:r w:rsidRPr="00F41AA3">
        <w:rPr>
          <w:rFonts w:ascii="Calibri" w:hAnsi="Calibri"/>
        </w:rPr>
        <w:tab/>
        <w:t xml:space="preserve">H. Ishwaran, U. B. Kogalur, E. H. Blackstone, and M. S. Lauer, “Random Survival Forests,” </w:t>
      </w:r>
      <w:r w:rsidRPr="00F41AA3">
        <w:rPr>
          <w:rFonts w:ascii="Calibri" w:hAnsi="Calibri"/>
          <w:i/>
          <w:iCs/>
        </w:rPr>
        <w:t>Ann. Appl. Stat.</w:t>
      </w:r>
      <w:r w:rsidRPr="00F41AA3">
        <w:rPr>
          <w:rFonts w:ascii="Calibri" w:hAnsi="Calibri"/>
        </w:rPr>
        <w:t>, vol. 2, no. 3, pp. 841–860, Sep. 2008.</w:t>
      </w:r>
    </w:p>
    <w:p w:rsidR="00F41AA3" w:rsidRPr="00F41AA3" w:rsidRDefault="00F41AA3" w:rsidP="00F41AA3">
      <w:pPr>
        <w:pStyle w:val="Bibliography"/>
        <w:rPr>
          <w:rFonts w:ascii="Calibri" w:hAnsi="Calibri"/>
        </w:rPr>
      </w:pPr>
      <w:r w:rsidRPr="00F41AA3">
        <w:rPr>
          <w:rFonts w:ascii="Calibri" w:hAnsi="Calibri"/>
        </w:rPr>
        <w:t>[29]</w:t>
      </w:r>
      <w:r w:rsidRPr="00F41AA3">
        <w:rPr>
          <w:rFonts w:ascii="Calibri" w:hAnsi="Calibri"/>
        </w:rPr>
        <w:tab/>
        <w:t xml:space="preserve">N. P. Rizk, H. Ishwaran, T. W. Rice, L.-Q. Chen, P. H. Schipper, K. A. Kesler, S. Law, T. E. M. R. Lerut, C. E. Reed, J. A. Salo, W. J. Scott, W. L. Hofstetter, T. J. Watson, M. S. Allen, V. W. Rusch, and E. H. Blackstone, “Optimum Lymphadenectomy for Esophageal Cancer:,” </w:t>
      </w:r>
      <w:r w:rsidRPr="00F41AA3">
        <w:rPr>
          <w:rFonts w:ascii="Calibri" w:hAnsi="Calibri"/>
          <w:i/>
          <w:iCs/>
        </w:rPr>
        <w:t>Ann. Surg.</w:t>
      </w:r>
      <w:r w:rsidRPr="00F41AA3">
        <w:rPr>
          <w:rFonts w:ascii="Calibri" w:hAnsi="Calibri"/>
        </w:rPr>
        <w:t>, vol. 251, no. 1, pp. 46–50, Jan. 2010.</w:t>
      </w:r>
    </w:p>
    <w:p w:rsidR="00F41AA3" w:rsidRPr="00F41AA3" w:rsidRDefault="00F41AA3" w:rsidP="00F41AA3">
      <w:pPr>
        <w:pStyle w:val="Bibliography"/>
        <w:rPr>
          <w:rFonts w:ascii="Calibri" w:hAnsi="Calibri"/>
        </w:rPr>
      </w:pPr>
      <w:r w:rsidRPr="00F41AA3">
        <w:rPr>
          <w:rFonts w:ascii="Calibri" w:hAnsi="Calibri"/>
        </w:rPr>
        <w:t>[30]</w:t>
      </w:r>
      <w:r w:rsidRPr="00F41AA3">
        <w:rPr>
          <w:rFonts w:ascii="Calibri" w:hAnsi="Calibri"/>
        </w:rPr>
        <w:tab/>
        <w:t xml:space="preserve">E. Hsich, E. Z. Gorodeski, E. H. Blackstone, H. Ishwaran, and M. S. Lauer, “Identifying Important Risk Factors for Survival in Patient With Systolic Heart Failure Using Random Survival Forests,” </w:t>
      </w:r>
      <w:r w:rsidRPr="00F41AA3">
        <w:rPr>
          <w:rFonts w:ascii="Calibri" w:hAnsi="Calibri"/>
          <w:i/>
          <w:iCs/>
        </w:rPr>
        <w:t>Circ. Cardiovasc. Qual. Outcomes</w:t>
      </w:r>
      <w:r w:rsidRPr="00F41AA3">
        <w:rPr>
          <w:rFonts w:ascii="Calibri" w:hAnsi="Calibri"/>
        </w:rPr>
        <w:t>, vol. 4, no. 1, pp. 39–45, Jan. 2011.</w:t>
      </w:r>
    </w:p>
    <w:p w:rsidR="00F41AA3" w:rsidRPr="00F41AA3" w:rsidRDefault="00F41AA3" w:rsidP="00F41AA3">
      <w:pPr>
        <w:pStyle w:val="Bibliography"/>
        <w:rPr>
          <w:rFonts w:ascii="Calibri" w:hAnsi="Calibri"/>
        </w:rPr>
      </w:pPr>
      <w:r w:rsidRPr="00F41AA3">
        <w:rPr>
          <w:rFonts w:ascii="Calibri" w:hAnsi="Calibri"/>
        </w:rPr>
        <w:t>[31]</w:t>
      </w:r>
      <w:r w:rsidRPr="00F41AA3">
        <w:rPr>
          <w:rFonts w:ascii="Calibri" w:hAnsi="Calibri"/>
        </w:rPr>
        <w:tab/>
        <w:t xml:space="preserve">G.-P. Diller, A. Giardini, K. Dimopoulos, G. Gargiulo, J. Muller, G. Derrick, G. Giannakoulas, S. Khambadkone, A. E. Lammers, F. M. Picchio, M. A. Gatzoulis, and A. Hager, “Predictors of morbidity and mortality in contemporary Fontan patients: results from a multicenter study including cardiopulmonary exercise testing in 321 patients,” </w:t>
      </w:r>
      <w:r w:rsidRPr="00F41AA3">
        <w:rPr>
          <w:rFonts w:ascii="Calibri" w:hAnsi="Calibri"/>
          <w:i/>
          <w:iCs/>
        </w:rPr>
        <w:t>Eur. Heart J.</w:t>
      </w:r>
      <w:r w:rsidRPr="00F41AA3">
        <w:rPr>
          <w:rFonts w:ascii="Calibri" w:hAnsi="Calibri"/>
        </w:rPr>
        <w:t>, vol. 31, no. 24, pp. 3073–3083, Dec. 2010.</w:t>
      </w:r>
    </w:p>
    <w:p w:rsidR="00F41AA3" w:rsidRPr="00F41AA3" w:rsidRDefault="00F41AA3" w:rsidP="00F41AA3">
      <w:pPr>
        <w:pStyle w:val="Bibliography"/>
        <w:rPr>
          <w:rFonts w:ascii="Calibri" w:hAnsi="Calibri"/>
        </w:rPr>
      </w:pPr>
      <w:r w:rsidRPr="00F41AA3">
        <w:rPr>
          <w:rFonts w:ascii="Calibri" w:hAnsi="Calibri"/>
        </w:rPr>
        <w:t>[32]</w:t>
      </w:r>
      <w:r w:rsidRPr="00F41AA3">
        <w:rPr>
          <w:rFonts w:ascii="Calibri" w:hAnsi="Calibri"/>
        </w:rPr>
        <w:tab/>
        <w:t xml:space="preserve">D. Fantazzini and S. Figini, “Random Survival Forests Models for SME Credit Risk Measurement,” </w:t>
      </w:r>
      <w:r w:rsidRPr="00F41AA3">
        <w:rPr>
          <w:rFonts w:ascii="Calibri" w:hAnsi="Calibri"/>
          <w:i/>
          <w:iCs/>
        </w:rPr>
        <w:t>Methodol. Comput. Appl. Probab.</w:t>
      </w:r>
      <w:r w:rsidRPr="00F41AA3">
        <w:rPr>
          <w:rFonts w:ascii="Calibri" w:hAnsi="Calibri"/>
        </w:rPr>
        <w:t>, vol. 11, no. 1, pp. 29–45, Mar. 2009.</w:t>
      </w:r>
    </w:p>
    <w:p w:rsidR="00F41AA3" w:rsidRPr="00F41AA3" w:rsidRDefault="00F41AA3" w:rsidP="00F41AA3">
      <w:pPr>
        <w:pStyle w:val="Bibliography"/>
        <w:rPr>
          <w:rFonts w:ascii="Calibri" w:hAnsi="Calibri"/>
        </w:rPr>
      </w:pPr>
      <w:r w:rsidRPr="00F41AA3">
        <w:rPr>
          <w:rFonts w:ascii="Calibri" w:hAnsi="Calibri"/>
        </w:rPr>
        <w:t>[33]</w:t>
      </w:r>
      <w:r w:rsidRPr="00F41AA3">
        <w:rPr>
          <w:rFonts w:ascii="Calibri" w:hAnsi="Calibri"/>
        </w:rPr>
        <w:tab/>
        <w:t>M. A. Vedomske, D. E. Brown, and J. H. Harrison, “Random Forests on Ubiquitous Data for Heart Failure 30-Day Readmissions Prediction,” 2013, pp. 415–421.</w:t>
      </w:r>
    </w:p>
    <w:p w:rsidR="00F41AA3" w:rsidRPr="00F41AA3" w:rsidRDefault="00F41AA3" w:rsidP="00F41AA3">
      <w:pPr>
        <w:pStyle w:val="Bibliography"/>
        <w:rPr>
          <w:rFonts w:ascii="Calibri" w:hAnsi="Calibri"/>
        </w:rPr>
      </w:pPr>
      <w:r w:rsidRPr="00F41AA3">
        <w:rPr>
          <w:rFonts w:ascii="Calibri" w:hAnsi="Calibri"/>
        </w:rPr>
        <w:t>[34]</w:t>
      </w:r>
      <w:r w:rsidRPr="00F41AA3">
        <w:rPr>
          <w:rFonts w:ascii="Calibri" w:hAnsi="Calibri"/>
        </w:rPr>
        <w:tab/>
        <w:t xml:space="preserve">H. Ishwaran and U. B. Kogalur, “Random Survival Forests for R,” </w:t>
      </w:r>
      <w:r w:rsidRPr="00F41AA3">
        <w:rPr>
          <w:rFonts w:ascii="Calibri" w:hAnsi="Calibri"/>
          <w:i/>
          <w:iCs/>
        </w:rPr>
        <w:t>R News</w:t>
      </w:r>
      <w:r w:rsidRPr="00F41AA3">
        <w:rPr>
          <w:rFonts w:ascii="Calibri" w:hAnsi="Calibri"/>
        </w:rPr>
        <w:t>, vol. 7, no. 2, pp. 25–31, Oct. 2007.</w:t>
      </w:r>
    </w:p>
    <w:p w:rsidR="00F41AA3" w:rsidRPr="00F41AA3" w:rsidRDefault="00F41AA3" w:rsidP="00F41AA3">
      <w:pPr>
        <w:pStyle w:val="Bibliography"/>
        <w:rPr>
          <w:rFonts w:ascii="Calibri" w:hAnsi="Calibri"/>
        </w:rPr>
      </w:pPr>
      <w:r w:rsidRPr="00F41AA3">
        <w:rPr>
          <w:rFonts w:ascii="Calibri" w:hAnsi="Calibri"/>
        </w:rPr>
        <w:t>[35]</w:t>
      </w:r>
      <w:r w:rsidRPr="00F41AA3">
        <w:rPr>
          <w:rFonts w:ascii="Calibri" w:hAnsi="Calibri"/>
        </w:rPr>
        <w:tab/>
        <w:t xml:space="preserve">I. Guyon and A. Elisseeff, “An introduction to variable and feature selection,” </w:t>
      </w:r>
      <w:r w:rsidRPr="00F41AA3">
        <w:rPr>
          <w:rFonts w:ascii="Calibri" w:hAnsi="Calibri"/>
          <w:i/>
          <w:iCs/>
        </w:rPr>
        <w:t>J. Mach. Learn. Res.</w:t>
      </w:r>
      <w:r w:rsidRPr="00F41AA3">
        <w:rPr>
          <w:rFonts w:ascii="Calibri" w:hAnsi="Calibri"/>
        </w:rPr>
        <w:t>, vol. 3, pp. 1157–1182, 2003.</w:t>
      </w:r>
    </w:p>
    <w:p w:rsidR="00F41AA3" w:rsidRPr="00F41AA3" w:rsidRDefault="00F41AA3" w:rsidP="00F41AA3">
      <w:pPr>
        <w:pStyle w:val="Bibliography"/>
        <w:rPr>
          <w:rFonts w:ascii="Calibri" w:hAnsi="Calibri"/>
        </w:rPr>
      </w:pPr>
      <w:r w:rsidRPr="00F41AA3">
        <w:rPr>
          <w:rFonts w:ascii="Calibri" w:hAnsi="Calibri"/>
        </w:rPr>
        <w:t>[36]</w:t>
      </w:r>
      <w:r w:rsidRPr="00F41AA3">
        <w:rPr>
          <w:rFonts w:ascii="Calibri" w:hAnsi="Calibri"/>
        </w:rPr>
        <w:tab/>
        <w:t xml:space="preserve">Richard A. Deyo, Daniel C. Cherkin, and Marcia A. Ciol, “Adapting a clinical comorbidity index for use with ICD-9-CM administrative databases,” </w:t>
      </w:r>
      <w:r w:rsidRPr="00F41AA3">
        <w:rPr>
          <w:rFonts w:ascii="Calibri" w:hAnsi="Calibri"/>
          <w:i/>
          <w:iCs/>
        </w:rPr>
        <w:t>J. Clin. Epidemiol.</w:t>
      </w:r>
      <w:r w:rsidRPr="00F41AA3">
        <w:rPr>
          <w:rFonts w:ascii="Calibri" w:hAnsi="Calibri"/>
        </w:rPr>
        <w:t>, vol. 45, no. 6, pp. 613 – 619, 1992.</w:t>
      </w:r>
    </w:p>
    <w:p w:rsidR="00F41AA3" w:rsidRPr="00F41AA3" w:rsidRDefault="00F41AA3" w:rsidP="00F41AA3">
      <w:pPr>
        <w:pStyle w:val="Bibliography"/>
        <w:rPr>
          <w:rFonts w:ascii="Calibri" w:hAnsi="Calibri"/>
        </w:rPr>
      </w:pPr>
      <w:r w:rsidRPr="00F41AA3">
        <w:rPr>
          <w:rFonts w:ascii="Calibri" w:hAnsi="Calibri"/>
        </w:rPr>
        <w:t>[37]</w:t>
      </w:r>
      <w:r w:rsidRPr="00F41AA3">
        <w:rPr>
          <w:rFonts w:ascii="Calibri" w:hAnsi="Calibri"/>
        </w:rPr>
        <w:tab/>
        <w:t>C. Liu, K. Zhang, H. Xiong, G. Jiang, and Q. Yang, “Temporal skeletonization on sequential data: patterns, categorization, and visualization,” 2014, pp. 1336–1345.</w:t>
      </w:r>
    </w:p>
    <w:p w:rsidR="00F41AA3" w:rsidRPr="00F41AA3" w:rsidRDefault="00F41AA3" w:rsidP="00F41AA3">
      <w:pPr>
        <w:pStyle w:val="Bibliography"/>
        <w:rPr>
          <w:rFonts w:ascii="Calibri" w:hAnsi="Calibri"/>
        </w:rPr>
      </w:pPr>
      <w:r w:rsidRPr="00F41AA3">
        <w:rPr>
          <w:rFonts w:ascii="Calibri" w:hAnsi="Calibri"/>
        </w:rPr>
        <w:t>[38]</w:t>
      </w:r>
      <w:r w:rsidRPr="00F41AA3">
        <w:rPr>
          <w:rFonts w:ascii="Calibri" w:hAnsi="Calibri"/>
        </w:rPr>
        <w:tab/>
        <w:t>J. Webber, “A programmatic introduction to Neo4j,” 2012, p. 217.</w:t>
      </w:r>
    </w:p>
    <w:p w:rsidR="00F41AA3" w:rsidRPr="00F41AA3" w:rsidRDefault="00F41AA3" w:rsidP="00F41AA3">
      <w:pPr>
        <w:pStyle w:val="Bibliography"/>
        <w:rPr>
          <w:rFonts w:ascii="Calibri" w:hAnsi="Calibri"/>
        </w:rPr>
      </w:pPr>
      <w:r w:rsidRPr="00F41AA3">
        <w:rPr>
          <w:rFonts w:ascii="Calibri" w:hAnsi="Calibri"/>
        </w:rPr>
        <w:lastRenderedPageBreak/>
        <w:t>[39]</w:t>
      </w:r>
      <w:r w:rsidRPr="00F41AA3">
        <w:rPr>
          <w:rFonts w:ascii="Calibri" w:hAnsi="Calibri"/>
        </w:rPr>
        <w:tab/>
        <w:t xml:space="preserve">C. T. Have and L. J. Jensen, “Are graph databases ready for bioinformatics?,” </w:t>
      </w:r>
      <w:r w:rsidRPr="00F41AA3">
        <w:rPr>
          <w:rFonts w:ascii="Calibri" w:hAnsi="Calibri"/>
          <w:i/>
          <w:iCs/>
        </w:rPr>
        <w:t>Bioinformatics</w:t>
      </w:r>
      <w:r w:rsidRPr="00F41AA3">
        <w:rPr>
          <w:rFonts w:ascii="Calibri" w:hAnsi="Calibri"/>
        </w:rPr>
        <w:t>, vol. 29, no. 24, pp. 3107–3108, Dec. 2013.</w:t>
      </w:r>
    </w:p>
    <w:p w:rsidR="00F41AA3" w:rsidRPr="00F41AA3" w:rsidRDefault="00F41AA3" w:rsidP="00F41AA3">
      <w:pPr>
        <w:pStyle w:val="Bibliography"/>
        <w:rPr>
          <w:rFonts w:ascii="Calibri" w:hAnsi="Calibri"/>
        </w:rPr>
      </w:pPr>
      <w:r w:rsidRPr="00F41AA3">
        <w:rPr>
          <w:rFonts w:ascii="Calibri" w:hAnsi="Calibri"/>
        </w:rPr>
        <w:t>[40]</w:t>
      </w:r>
      <w:r w:rsidRPr="00F41AA3">
        <w:rPr>
          <w:rFonts w:ascii="Calibri" w:hAnsi="Calibri"/>
        </w:rPr>
        <w:tab/>
      </w:r>
      <w:r w:rsidRPr="00F41AA3">
        <w:rPr>
          <w:rFonts w:ascii="Calibri" w:hAnsi="Calibri"/>
          <w:i/>
          <w:iCs/>
        </w:rPr>
        <w:t>Neo4J</w:t>
      </w:r>
      <w:r w:rsidRPr="00F41AA3">
        <w:rPr>
          <w:rFonts w:ascii="Calibri" w:hAnsi="Calibri"/>
        </w:rPr>
        <w:t>. Neo Technology, 2015.</w:t>
      </w:r>
    </w:p>
    <w:p w:rsidR="00F41AA3" w:rsidRPr="00F41AA3" w:rsidRDefault="00F41AA3" w:rsidP="00F41AA3">
      <w:pPr>
        <w:pStyle w:val="Bibliography"/>
        <w:rPr>
          <w:rFonts w:ascii="Calibri" w:hAnsi="Calibri"/>
        </w:rPr>
      </w:pPr>
      <w:r w:rsidRPr="00F41AA3">
        <w:rPr>
          <w:rFonts w:ascii="Calibri" w:hAnsi="Calibri"/>
        </w:rPr>
        <w:t>[41]</w:t>
      </w:r>
      <w:r w:rsidRPr="00F41AA3">
        <w:rPr>
          <w:rFonts w:ascii="Calibri" w:hAnsi="Calibri"/>
        </w:rPr>
        <w:tab/>
        <w:t>R. P. Yerex, “Machine Learning Based Prediction of Patient Readmission Using CMS Claims Data,” UVA Medical System, Mar. 2015.</w:t>
      </w:r>
    </w:p>
    <w:p w:rsidR="00F41AA3" w:rsidRPr="00F41AA3" w:rsidRDefault="00F41AA3" w:rsidP="00F41AA3">
      <w:pPr>
        <w:pStyle w:val="Bibliography"/>
        <w:rPr>
          <w:rFonts w:ascii="Calibri" w:hAnsi="Calibri"/>
        </w:rPr>
      </w:pPr>
      <w:r w:rsidRPr="00F41AA3">
        <w:rPr>
          <w:rFonts w:ascii="Calibri" w:hAnsi="Calibri"/>
        </w:rPr>
        <w:t>[42]</w:t>
      </w:r>
      <w:r w:rsidRPr="00F41AA3">
        <w:rPr>
          <w:rFonts w:ascii="Calibri" w:hAnsi="Calibri"/>
        </w:rPr>
        <w:tab/>
        <w:t xml:space="preserve">V. C. Raykar, H. Steck, B. Krishnapuram, and C. Dehing-oberije, </w:t>
      </w:r>
      <w:r w:rsidRPr="00F41AA3">
        <w:rPr>
          <w:rFonts w:ascii="Calibri" w:hAnsi="Calibri"/>
          <w:i/>
          <w:iCs/>
        </w:rPr>
        <w:t>On Ranking in Survival Analysis: Bounds on the Concordance Index</w:t>
      </w:r>
      <w:r w:rsidRPr="00F41AA3">
        <w:rPr>
          <w:rFonts w:ascii="Calibri" w:hAnsi="Calibri"/>
        </w:rPr>
        <w:t>. .</w:t>
      </w:r>
    </w:p>
    <w:p w:rsidR="00F41AA3" w:rsidRPr="00F41AA3" w:rsidRDefault="00F41AA3" w:rsidP="00F41AA3">
      <w:pPr>
        <w:pStyle w:val="Bibliography"/>
        <w:rPr>
          <w:rFonts w:ascii="Calibri" w:hAnsi="Calibri"/>
        </w:rPr>
      </w:pPr>
      <w:r w:rsidRPr="00F41AA3">
        <w:rPr>
          <w:rFonts w:ascii="Calibri" w:hAnsi="Calibri"/>
        </w:rPr>
        <w:t>[43]</w:t>
      </w:r>
      <w:r w:rsidRPr="00F41AA3">
        <w:rPr>
          <w:rFonts w:ascii="Calibri" w:hAnsi="Calibri"/>
        </w:rPr>
        <w:tab/>
        <w:t xml:space="preserve">J. A. Koziol and Z. Jia, “The Concordance Index C and the Mann–Whitney Parameter Pr(X&gt;Y) with Randomly Censored Data,” </w:t>
      </w:r>
      <w:r w:rsidRPr="00F41AA3">
        <w:rPr>
          <w:rFonts w:ascii="Calibri" w:hAnsi="Calibri"/>
          <w:i/>
          <w:iCs/>
        </w:rPr>
        <w:t>Biom. J.</w:t>
      </w:r>
      <w:r w:rsidRPr="00F41AA3">
        <w:rPr>
          <w:rFonts w:ascii="Calibri" w:hAnsi="Calibri"/>
        </w:rPr>
        <w:t>, vol. 51, no. 3, pp. 467–474, Jul. 2009.</w:t>
      </w:r>
    </w:p>
    <w:p w:rsidR="00755AF7" w:rsidRPr="00755AF7" w:rsidRDefault="00755AF7" w:rsidP="00755AF7">
      <w:pPr>
        <w:rPr>
          <w:lang w:eastAsia="en-GB"/>
        </w:rPr>
      </w:pPr>
      <w:r>
        <w:rPr>
          <w:lang w:eastAsia="en-GB"/>
        </w:rPr>
        <w:fldChar w:fldCharType="end"/>
      </w:r>
    </w:p>
    <w:p w:rsidR="003E4954" w:rsidRPr="003E4954" w:rsidRDefault="003E4954" w:rsidP="003E4954">
      <w:pPr>
        <w:rPr>
          <w:lang w:eastAsia="en-GB"/>
        </w:rPr>
      </w:pPr>
    </w:p>
    <w:p w:rsidR="005A4C7C" w:rsidRPr="005A4C7C" w:rsidRDefault="005A4C7C" w:rsidP="005A4C7C">
      <w:pPr>
        <w:rPr>
          <w:lang w:eastAsia="en-GB"/>
        </w:rPr>
      </w:pPr>
    </w:p>
    <w:p w:rsidR="009875AB" w:rsidRPr="009875AB" w:rsidRDefault="009875AB" w:rsidP="009875AB">
      <w:pPr>
        <w:rPr>
          <w:lang w:eastAsia="en-GB"/>
        </w:rPr>
      </w:pPr>
    </w:p>
    <w:p w:rsidR="00924715" w:rsidRDefault="00924715" w:rsidP="00FB28B4">
      <w:pPr>
        <w:pStyle w:val="Paragraph"/>
      </w:pPr>
      <w:r>
        <w:t xml:space="preserve"> </w:t>
      </w:r>
    </w:p>
    <w:sectPr w:rsidR="009247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3A9" w:rsidRDefault="00CB73A9" w:rsidP="00A47BDD">
      <w:pPr>
        <w:spacing w:after="0" w:line="240" w:lineRule="auto"/>
      </w:pPr>
      <w:r>
        <w:separator/>
      </w:r>
    </w:p>
  </w:endnote>
  <w:endnote w:type="continuationSeparator" w:id="0">
    <w:p w:rsidR="00CB73A9" w:rsidRDefault="00CB73A9" w:rsidP="00A47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3A9" w:rsidRDefault="00CB73A9" w:rsidP="00A47BDD">
      <w:pPr>
        <w:spacing w:after="0" w:line="240" w:lineRule="auto"/>
      </w:pPr>
      <w:r>
        <w:separator/>
      </w:r>
    </w:p>
  </w:footnote>
  <w:footnote w:type="continuationSeparator" w:id="0">
    <w:p w:rsidR="00CB73A9" w:rsidRDefault="00CB73A9" w:rsidP="00A47BDD">
      <w:pPr>
        <w:spacing w:after="0" w:line="240" w:lineRule="auto"/>
      </w:pPr>
      <w:r>
        <w:continuationSeparator/>
      </w:r>
    </w:p>
  </w:footnote>
  <w:footnote w:id="1">
    <w:p w:rsidR="009875AB" w:rsidRPr="00A62EC0" w:rsidRDefault="009875AB">
      <w:pPr>
        <w:pStyle w:val="FootnoteText"/>
        <w:rPr>
          <w:rStyle w:val="FootnoteChar"/>
        </w:rPr>
      </w:pPr>
      <w:r>
        <w:rPr>
          <w:rStyle w:val="FootnoteReference"/>
        </w:rPr>
        <w:footnoteRef/>
      </w:r>
      <w:r>
        <w:t xml:space="preserve"> </w:t>
      </w:r>
      <w:r w:rsidRPr="00A62EC0">
        <w:rPr>
          <w:rStyle w:val="FootnoteChar"/>
        </w:rPr>
        <w:t>As defined here, an episode of inpatient care can be described as a contiguous period of time when a patient was treated in a specific location for a specified condition. A spell of care is a chain of related episodes in chronological order.</w:t>
      </w:r>
    </w:p>
  </w:footnote>
  <w:footnote w:id="2">
    <w:p w:rsidR="00C53052" w:rsidRDefault="00C53052">
      <w:pPr>
        <w:pStyle w:val="FootnoteText"/>
      </w:pPr>
      <w:r>
        <w:rPr>
          <w:rStyle w:val="FootnoteReference"/>
        </w:rPr>
        <w:footnoteRef/>
      </w:r>
      <w:r>
        <w:t xml:space="preserve"> </w:t>
      </w:r>
      <w:r w:rsidRPr="00A62EC0">
        <w:rPr>
          <w:rStyle w:val="FootnoteChar"/>
        </w:rPr>
        <w:t>Ensemble learning is the process by which multiple models, such as classifiers or experts, are strategically generated and combined to solve a particular computational intelligence problem. Ensemble learning is primarily used to improve the (classification, prediction, function approximation, etc.) performance of a model, or reduce the likelihood of an unfortunate selection of a poor one</w:t>
      </w:r>
    </w:p>
  </w:footnote>
  <w:footnote w:id="3">
    <w:p w:rsidR="00A62EC0" w:rsidRDefault="00A62EC0">
      <w:pPr>
        <w:pStyle w:val="FootnoteText"/>
      </w:pPr>
      <w:r>
        <w:rPr>
          <w:rStyle w:val="FootnoteReference"/>
        </w:rPr>
        <w:footnoteRef/>
      </w:r>
      <w:r>
        <w:t xml:space="preserve"> </w:t>
      </w:r>
      <w:r w:rsidRPr="00A62EC0">
        <w:rPr>
          <w:rStyle w:val="FootnoteChar"/>
        </w:rPr>
        <w:t>Attributes may be transformed, centered or rescaled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0DD"/>
    <w:rsid w:val="00027543"/>
    <w:rsid w:val="000D30DD"/>
    <w:rsid w:val="000E28C0"/>
    <w:rsid w:val="001A2CF6"/>
    <w:rsid w:val="001A6904"/>
    <w:rsid w:val="0024124B"/>
    <w:rsid w:val="00251944"/>
    <w:rsid w:val="002727BE"/>
    <w:rsid w:val="003A36FB"/>
    <w:rsid w:val="003E4954"/>
    <w:rsid w:val="003E6606"/>
    <w:rsid w:val="005A4C7C"/>
    <w:rsid w:val="005B0B34"/>
    <w:rsid w:val="005E6D91"/>
    <w:rsid w:val="005F34C6"/>
    <w:rsid w:val="00655B0E"/>
    <w:rsid w:val="0067711A"/>
    <w:rsid w:val="00692122"/>
    <w:rsid w:val="00701B49"/>
    <w:rsid w:val="00714D21"/>
    <w:rsid w:val="00755AF7"/>
    <w:rsid w:val="00777368"/>
    <w:rsid w:val="0082190A"/>
    <w:rsid w:val="00827E2C"/>
    <w:rsid w:val="00924715"/>
    <w:rsid w:val="0096029C"/>
    <w:rsid w:val="00971408"/>
    <w:rsid w:val="009875AB"/>
    <w:rsid w:val="009E30FC"/>
    <w:rsid w:val="00A47BDD"/>
    <w:rsid w:val="00A62EC0"/>
    <w:rsid w:val="00A87383"/>
    <w:rsid w:val="00AD1819"/>
    <w:rsid w:val="00AF1E36"/>
    <w:rsid w:val="00B65BBA"/>
    <w:rsid w:val="00B86B7A"/>
    <w:rsid w:val="00BB08E3"/>
    <w:rsid w:val="00C31432"/>
    <w:rsid w:val="00C33E27"/>
    <w:rsid w:val="00C53052"/>
    <w:rsid w:val="00CA306D"/>
    <w:rsid w:val="00CB73A9"/>
    <w:rsid w:val="00CF2235"/>
    <w:rsid w:val="00ED73C7"/>
    <w:rsid w:val="00F33252"/>
    <w:rsid w:val="00F41AA3"/>
    <w:rsid w:val="00F842BF"/>
    <w:rsid w:val="00FA7DA2"/>
    <w:rsid w:val="00FB2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Paragraph"/>
    <w:link w:val="Heading1Char"/>
    <w:qFormat/>
    <w:rsid w:val="00FB28B4"/>
    <w:pPr>
      <w:keepNext/>
      <w:spacing w:before="120" w:after="0" w:line="240" w:lineRule="auto"/>
      <w:ind w:right="562"/>
      <w:contextualSpacing/>
      <w:outlineLvl w:val="0"/>
    </w:pPr>
    <w:rPr>
      <w:rFonts w:eastAsia="Times New Roman" w:cs="Arial"/>
      <w:b/>
      <w:bCs/>
      <w:kern w:val="32"/>
      <w:sz w:val="20"/>
      <w:szCs w:val="28"/>
      <w:lang w:eastAsia="en-GB"/>
    </w:rPr>
  </w:style>
  <w:style w:type="paragraph" w:styleId="Heading2">
    <w:name w:val="heading 2"/>
    <w:basedOn w:val="Normal"/>
    <w:next w:val="Normal"/>
    <w:link w:val="Heading2Char"/>
    <w:uiPriority w:val="9"/>
    <w:unhideWhenUsed/>
    <w:qFormat/>
    <w:rsid w:val="00CF2235"/>
    <w:pPr>
      <w:keepNext/>
      <w:keepLines/>
      <w:spacing w:before="200" w:after="0"/>
      <w:jc w:val="center"/>
      <w:outlineLvl w:val="1"/>
    </w:pPr>
    <w:rPr>
      <w:rFonts w:ascii="Times New Roman" w:eastAsiaTheme="majorEastAsia"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D30DD"/>
    <w:pPr>
      <w:tabs>
        <w:tab w:val="left" w:pos="384"/>
      </w:tabs>
      <w:spacing w:after="0" w:line="240" w:lineRule="auto"/>
      <w:ind w:left="384" w:hanging="384"/>
    </w:pPr>
  </w:style>
  <w:style w:type="character" w:customStyle="1" w:styleId="Heading1Char">
    <w:name w:val="Heading 1 Char"/>
    <w:basedOn w:val="DefaultParagraphFont"/>
    <w:link w:val="Heading1"/>
    <w:rsid w:val="00FB28B4"/>
    <w:rPr>
      <w:rFonts w:eastAsia="Times New Roman" w:cs="Arial"/>
      <w:b/>
      <w:bCs/>
      <w:kern w:val="32"/>
      <w:sz w:val="20"/>
      <w:szCs w:val="28"/>
      <w:lang w:eastAsia="en-GB"/>
    </w:rPr>
  </w:style>
  <w:style w:type="paragraph" w:customStyle="1" w:styleId="Articletitle">
    <w:name w:val="Article title"/>
    <w:basedOn w:val="Normal"/>
    <w:next w:val="Normal"/>
    <w:autoRedefine/>
    <w:qFormat/>
    <w:rsid w:val="0024124B"/>
    <w:pPr>
      <w:spacing w:after="60" w:line="240" w:lineRule="auto"/>
      <w:jc w:val="center"/>
    </w:pPr>
    <w:rPr>
      <w:rFonts w:ascii="Times New Roman" w:eastAsia="Times New Roman" w:hAnsi="Times New Roman" w:cs="Times New Roman"/>
      <w:b/>
      <w:sz w:val="24"/>
      <w:szCs w:val="44"/>
      <w:lang w:val="en-GB" w:eastAsia="en-GB"/>
    </w:rPr>
  </w:style>
  <w:style w:type="paragraph" w:customStyle="1" w:styleId="Authornames">
    <w:name w:val="Author names"/>
    <w:basedOn w:val="Normal"/>
    <w:next w:val="Normal"/>
    <w:qFormat/>
    <w:rsid w:val="0024124B"/>
    <w:pPr>
      <w:spacing w:before="120" w:after="0" w:line="240" w:lineRule="auto"/>
      <w:jc w:val="center"/>
    </w:pPr>
    <w:rPr>
      <w:rFonts w:ascii="Times New Roman" w:eastAsia="Times New Roman" w:hAnsi="Times New Roman" w:cs="Times New Roman"/>
      <w:b/>
      <w:sz w:val="24"/>
      <w:szCs w:val="24"/>
      <w:lang w:eastAsia="en-GB"/>
    </w:rPr>
  </w:style>
  <w:style w:type="paragraph" w:customStyle="1" w:styleId="Affiliation">
    <w:name w:val="Affiliation"/>
    <w:basedOn w:val="Normal"/>
    <w:qFormat/>
    <w:rsid w:val="0024124B"/>
    <w:pPr>
      <w:spacing w:before="120" w:after="0" w:line="240" w:lineRule="auto"/>
      <w:jc w:val="center"/>
    </w:pPr>
    <w:rPr>
      <w:rFonts w:ascii="Times New Roman" w:eastAsia="Times New Roman" w:hAnsi="Times New Roman" w:cs="Times New Roman"/>
      <w:sz w:val="20"/>
      <w:szCs w:val="20"/>
      <w:lang w:eastAsia="en-GB"/>
    </w:rPr>
  </w:style>
  <w:style w:type="paragraph" w:customStyle="1" w:styleId="Paragraph">
    <w:name w:val="Paragraph"/>
    <w:basedOn w:val="Normal"/>
    <w:next w:val="Normal"/>
    <w:qFormat/>
    <w:rsid w:val="00FB28B4"/>
    <w:pPr>
      <w:widowControl w:val="0"/>
      <w:spacing w:before="120" w:after="0"/>
    </w:pPr>
    <w:rPr>
      <w:rFonts w:ascii="Times New Roman" w:eastAsia="Times New Roman" w:hAnsi="Times New Roman" w:cs="Times New Roman"/>
      <w:sz w:val="20"/>
      <w:szCs w:val="20"/>
      <w:lang w:eastAsia="en-GB"/>
    </w:rPr>
  </w:style>
  <w:style w:type="paragraph" w:styleId="FootnoteText">
    <w:name w:val="footnote text"/>
    <w:basedOn w:val="Normal"/>
    <w:link w:val="FootnoteTextChar"/>
    <w:uiPriority w:val="99"/>
    <w:semiHidden/>
    <w:unhideWhenUsed/>
    <w:rsid w:val="009875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75AB"/>
    <w:rPr>
      <w:sz w:val="20"/>
      <w:szCs w:val="20"/>
    </w:rPr>
  </w:style>
  <w:style w:type="character" w:styleId="FootnoteReference">
    <w:name w:val="footnote reference"/>
    <w:basedOn w:val="DefaultParagraphFont"/>
    <w:uiPriority w:val="99"/>
    <w:semiHidden/>
    <w:unhideWhenUsed/>
    <w:rsid w:val="009875AB"/>
    <w:rPr>
      <w:vertAlign w:val="superscript"/>
    </w:rPr>
  </w:style>
  <w:style w:type="paragraph" w:customStyle="1" w:styleId="Footnote">
    <w:name w:val="Footnote*"/>
    <w:basedOn w:val="FootnoteText"/>
    <w:link w:val="FootnoteChar"/>
    <w:autoRedefine/>
    <w:qFormat/>
    <w:rsid w:val="00A62EC0"/>
    <w:rPr>
      <w:rFonts w:ascii="Times New Roman" w:hAnsi="Times New Roman" w:cs="Times New Roman"/>
    </w:rPr>
  </w:style>
  <w:style w:type="character" w:customStyle="1" w:styleId="FootnoteChar">
    <w:name w:val="Footnote* Char"/>
    <w:basedOn w:val="DefaultParagraphFont"/>
    <w:link w:val="Footnote"/>
    <w:rsid w:val="00A62EC0"/>
    <w:rPr>
      <w:rFonts w:ascii="Times New Roman" w:hAnsi="Times New Roman" w:cs="Times New Roman"/>
      <w:sz w:val="20"/>
      <w:szCs w:val="20"/>
    </w:rPr>
  </w:style>
  <w:style w:type="character" w:customStyle="1" w:styleId="Heading2Char">
    <w:name w:val="Heading 2 Char"/>
    <w:basedOn w:val="DefaultParagraphFont"/>
    <w:link w:val="Heading2"/>
    <w:uiPriority w:val="9"/>
    <w:rsid w:val="00CF2235"/>
    <w:rPr>
      <w:rFonts w:ascii="Times New Roman" w:eastAsiaTheme="majorEastAsia" w:hAnsi="Times New Roman" w:cs="Times New Roman"/>
      <w:b/>
      <w:bCs/>
      <w:sz w:val="20"/>
      <w:szCs w:val="20"/>
      <w:lang w:eastAsia="en-GB"/>
    </w:rPr>
  </w:style>
  <w:style w:type="table" w:styleId="TableGrid">
    <w:name w:val="Table Grid"/>
    <w:basedOn w:val="TableNormal"/>
    <w:rsid w:val="00B65BBA"/>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27E2C"/>
    <w:pPr>
      <w:spacing w:line="240" w:lineRule="auto"/>
      <w:jc w:val="center"/>
    </w:pPr>
    <w:rPr>
      <w:rFonts w:ascii="Times New Roman" w:hAnsi="Times New Roman" w:cs="Times New Roman"/>
      <w:iCs/>
      <w:sz w:val="18"/>
      <w:szCs w:val="18"/>
    </w:rPr>
  </w:style>
  <w:style w:type="paragraph" w:styleId="BalloonText">
    <w:name w:val="Balloon Text"/>
    <w:basedOn w:val="Normal"/>
    <w:link w:val="BalloonTextChar"/>
    <w:uiPriority w:val="99"/>
    <w:semiHidden/>
    <w:unhideWhenUsed/>
    <w:rsid w:val="003E6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6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Paragraph"/>
    <w:link w:val="Heading1Char"/>
    <w:qFormat/>
    <w:rsid w:val="00FB28B4"/>
    <w:pPr>
      <w:keepNext/>
      <w:spacing w:before="120" w:after="0" w:line="240" w:lineRule="auto"/>
      <w:ind w:right="562"/>
      <w:contextualSpacing/>
      <w:outlineLvl w:val="0"/>
    </w:pPr>
    <w:rPr>
      <w:rFonts w:eastAsia="Times New Roman" w:cs="Arial"/>
      <w:b/>
      <w:bCs/>
      <w:kern w:val="32"/>
      <w:sz w:val="20"/>
      <w:szCs w:val="28"/>
      <w:lang w:eastAsia="en-GB"/>
    </w:rPr>
  </w:style>
  <w:style w:type="paragraph" w:styleId="Heading2">
    <w:name w:val="heading 2"/>
    <w:basedOn w:val="Normal"/>
    <w:next w:val="Normal"/>
    <w:link w:val="Heading2Char"/>
    <w:uiPriority w:val="9"/>
    <w:unhideWhenUsed/>
    <w:qFormat/>
    <w:rsid w:val="00CF2235"/>
    <w:pPr>
      <w:keepNext/>
      <w:keepLines/>
      <w:spacing w:before="200" w:after="0"/>
      <w:jc w:val="center"/>
      <w:outlineLvl w:val="1"/>
    </w:pPr>
    <w:rPr>
      <w:rFonts w:ascii="Times New Roman" w:eastAsiaTheme="majorEastAsia"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D30DD"/>
    <w:pPr>
      <w:tabs>
        <w:tab w:val="left" w:pos="384"/>
      </w:tabs>
      <w:spacing w:after="0" w:line="240" w:lineRule="auto"/>
      <w:ind w:left="384" w:hanging="384"/>
    </w:pPr>
  </w:style>
  <w:style w:type="character" w:customStyle="1" w:styleId="Heading1Char">
    <w:name w:val="Heading 1 Char"/>
    <w:basedOn w:val="DefaultParagraphFont"/>
    <w:link w:val="Heading1"/>
    <w:rsid w:val="00FB28B4"/>
    <w:rPr>
      <w:rFonts w:eastAsia="Times New Roman" w:cs="Arial"/>
      <w:b/>
      <w:bCs/>
      <w:kern w:val="32"/>
      <w:sz w:val="20"/>
      <w:szCs w:val="28"/>
      <w:lang w:eastAsia="en-GB"/>
    </w:rPr>
  </w:style>
  <w:style w:type="paragraph" w:customStyle="1" w:styleId="Articletitle">
    <w:name w:val="Article title"/>
    <w:basedOn w:val="Normal"/>
    <w:next w:val="Normal"/>
    <w:autoRedefine/>
    <w:qFormat/>
    <w:rsid w:val="0024124B"/>
    <w:pPr>
      <w:spacing w:after="60" w:line="240" w:lineRule="auto"/>
      <w:jc w:val="center"/>
    </w:pPr>
    <w:rPr>
      <w:rFonts w:ascii="Times New Roman" w:eastAsia="Times New Roman" w:hAnsi="Times New Roman" w:cs="Times New Roman"/>
      <w:b/>
      <w:sz w:val="24"/>
      <w:szCs w:val="44"/>
      <w:lang w:val="en-GB" w:eastAsia="en-GB"/>
    </w:rPr>
  </w:style>
  <w:style w:type="paragraph" w:customStyle="1" w:styleId="Authornames">
    <w:name w:val="Author names"/>
    <w:basedOn w:val="Normal"/>
    <w:next w:val="Normal"/>
    <w:qFormat/>
    <w:rsid w:val="0024124B"/>
    <w:pPr>
      <w:spacing w:before="120" w:after="0" w:line="240" w:lineRule="auto"/>
      <w:jc w:val="center"/>
    </w:pPr>
    <w:rPr>
      <w:rFonts w:ascii="Times New Roman" w:eastAsia="Times New Roman" w:hAnsi="Times New Roman" w:cs="Times New Roman"/>
      <w:b/>
      <w:sz w:val="24"/>
      <w:szCs w:val="24"/>
      <w:lang w:eastAsia="en-GB"/>
    </w:rPr>
  </w:style>
  <w:style w:type="paragraph" w:customStyle="1" w:styleId="Affiliation">
    <w:name w:val="Affiliation"/>
    <w:basedOn w:val="Normal"/>
    <w:qFormat/>
    <w:rsid w:val="0024124B"/>
    <w:pPr>
      <w:spacing w:before="120" w:after="0" w:line="240" w:lineRule="auto"/>
      <w:jc w:val="center"/>
    </w:pPr>
    <w:rPr>
      <w:rFonts w:ascii="Times New Roman" w:eastAsia="Times New Roman" w:hAnsi="Times New Roman" w:cs="Times New Roman"/>
      <w:sz w:val="20"/>
      <w:szCs w:val="20"/>
      <w:lang w:eastAsia="en-GB"/>
    </w:rPr>
  </w:style>
  <w:style w:type="paragraph" w:customStyle="1" w:styleId="Paragraph">
    <w:name w:val="Paragraph"/>
    <w:basedOn w:val="Normal"/>
    <w:next w:val="Normal"/>
    <w:qFormat/>
    <w:rsid w:val="00FB28B4"/>
    <w:pPr>
      <w:widowControl w:val="0"/>
      <w:spacing w:before="120" w:after="0"/>
    </w:pPr>
    <w:rPr>
      <w:rFonts w:ascii="Times New Roman" w:eastAsia="Times New Roman" w:hAnsi="Times New Roman" w:cs="Times New Roman"/>
      <w:sz w:val="20"/>
      <w:szCs w:val="20"/>
      <w:lang w:eastAsia="en-GB"/>
    </w:rPr>
  </w:style>
  <w:style w:type="paragraph" w:styleId="FootnoteText">
    <w:name w:val="footnote text"/>
    <w:basedOn w:val="Normal"/>
    <w:link w:val="FootnoteTextChar"/>
    <w:uiPriority w:val="99"/>
    <w:semiHidden/>
    <w:unhideWhenUsed/>
    <w:rsid w:val="009875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75AB"/>
    <w:rPr>
      <w:sz w:val="20"/>
      <w:szCs w:val="20"/>
    </w:rPr>
  </w:style>
  <w:style w:type="character" w:styleId="FootnoteReference">
    <w:name w:val="footnote reference"/>
    <w:basedOn w:val="DefaultParagraphFont"/>
    <w:uiPriority w:val="99"/>
    <w:semiHidden/>
    <w:unhideWhenUsed/>
    <w:rsid w:val="009875AB"/>
    <w:rPr>
      <w:vertAlign w:val="superscript"/>
    </w:rPr>
  </w:style>
  <w:style w:type="paragraph" w:customStyle="1" w:styleId="Footnote">
    <w:name w:val="Footnote*"/>
    <w:basedOn w:val="FootnoteText"/>
    <w:link w:val="FootnoteChar"/>
    <w:autoRedefine/>
    <w:qFormat/>
    <w:rsid w:val="00A62EC0"/>
    <w:rPr>
      <w:rFonts w:ascii="Times New Roman" w:hAnsi="Times New Roman" w:cs="Times New Roman"/>
    </w:rPr>
  </w:style>
  <w:style w:type="character" w:customStyle="1" w:styleId="FootnoteChar">
    <w:name w:val="Footnote* Char"/>
    <w:basedOn w:val="DefaultParagraphFont"/>
    <w:link w:val="Footnote"/>
    <w:rsid w:val="00A62EC0"/>
    <w:rPr>
      <w:rFonts w:ascii="Times New Roman" w:hAnsi="Times New Roman" w:cs="Times New Roman"/>
      <w:sz w:val="20"/>
      <w:szCs w:val="20"/>
    </w:rPr>
  </w:style>
  <w:style w:type="character" w:customStyle="1" w:styleId="Heading2Char">
    <w:name w:val="Heading 2 Char"/>
    <w:basedOn w:val="DefaultParagraphFont"/>
    <w:link w:val="Heading2"/>
    <w:uiPriority w:val="9"/>
    <w:rsid w:val="00CF2235"/>
    <w:rPr>
      <w:rFonts w:ascii="Times New Roman" w:eastAsiaTheme="majorEastAsia" w:hAnsi="Times New Roman" w:cs="Times New Roman"/>
      <w:b/>
      <w:bCs/>
      <w:sz w:val="20"/>
      <w:szCs w:val="20"/>
      <w:lang w:eastAsia="en-GB"/>
    </w:rPr>
  </w:style>
  <w:style w:type="table" w:styleId="TableGrid">
    <w:name w:val="Table Grid"/>
    <w:basedOn w:val="TableNormal"/>
    <w:rsid w:val="00B65BBA"/>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27E2C"/>
    <w:pPr>
      <w:spacing w:line="240" w:lineRule="auto"/>
      <w:jc w:val="center"/>
    </w:pPr>
    <w:rPr>
      <w:rFonts w:ascii="Times New Roman" w:hAnsi="Times New Roman" w:cs="Times New Roman"/>
      <w:iCs/>
      <w:sz w:val="18"/>
      <w:szCs w:val="18"/>
    </w:rPr>
  </w:style>
  <w:style w:type="paragraph" w:styleId="BalloonText">
    <w:name w:val="Balloon Text"/>
    <w:basedOn w:val="Normal"/>
    <w:link w:val="BalloonTextChar"/>
    <w:uiPriority w:val="99"/>
    <w:semiHidden/>
    <w:unhideWhenUsed/>
    <w:rsid w:val="003E6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6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340135">
      <w:bodyDiv w:val="1"/>
      <w:marLeft w:val="0"/>
      <w:marRight w:val="0"/>
      <w:marTop w:val="0"/>
      <w:marBottom w:val="0"/>
      <w:divBdr>
        <w:top w:val="none" w:sz="0" w:space="0" w:color="auto"/>
        <w:left w:val="none" w:sz="0" w:space="0" w:color="auto"/>
        <w:bottom w:val="none" w:sz="0" w:space="0" w:color="auto"/>
        <w:right w:val="none" w:sz="0" w:space="0" w:color="auto"/>
      </w:divBdr>
      <w:divsChild>
        <w:div w:id="534587938">
          <w:marLeft w:val="0"/>
          <w:marRight w:val="0"/>
          <w:marTop w:val="0"/>
          <w:marBottom w:val="0"/>
          <w:divBdr>
            <w:top w:val="none" w:sz="0" w:space="0" w:color="auto"/>
            <w:left w:val="none" w:sz="0" w:space="0" w:color="auto"/>
            <w:bottom w:val="none" w:sz="0" w:space="0" w:color="auto"/>
            <w:right w:val="none" w:sz="0" w:space="0" w:color="auto"/>
          </w:divBdr>
          <w:divsChild>
            <w:div w:id="8345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2.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'CI Data'!$A$2</c:f>
              <c:strCache>
                <c:ptCount val="1"/>
                <c:pt idx="0">
                  <c:v>RSF</c:v>
                </c:pt>
              </c:strCache>
            </c:strRef>
          </c:tx>
          <c:marker>
            <c:symbol val="none"/>
          </c:marker>
          <c:xVal>
            <c:numRef>
              <c:f>'CI Data'!$B$1:$AE$1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'CI Data'!$B$2:$AE$2</c:f>
              <c:numCache>
                <c:formatCode>General</c:formatCode>
                <c:ptCount val="30"/>
                <c:pt idx="0">
                  <c:v>0.81</c:v>
                </c:pt>
                <c:pt idx="1">
                  <c:v>0.83</c:v>
                </c:pt>
                <c:pt idx="2">
                  <c:v>0.75</c:v>
                </c:pt>
                <c:pt idx="3">
                  <c:v>0.76</c:v>
                </c:pt>
                <c:pt idx="4">
                  <c:v>0.72</c:v>
                </c:pt>
                <c:pt idx="5">
                  <c:v>0.74</c:v>
                </c:pt>
                <c:pt idx="6">
                  <c:v>0.73</c:v>
                </c:pt>
                <c:pt idx="7">
                  <c:v>0.71</c:v>
                </c:pt>
                <c:pt idx="8">
                  <c:v>0.73</c:v>
                </c:pt>
                <c:pt idx="9">
                  <c:v>0.72</c:v>
                </c:pt>
                <c:pt idx="10">
                  <c:v>0.74</c:v>
                </c:pt>
                <c:pt idx="11">
                  <c:v>0.68</c:v>
                </c:pt>
                <c:pt idx="12">
                  <c:v>0.71</c:v>
                </c:pt>
                <c:pt idx="13">
                  <c:v>0.65</c:v>
                </c:pt>
                <c:pt idx="14">
                  <c:v>0.71</c:v>
                </c:pt>
                <c:pt idx="15">
                  <c:v>0.72</c:v>
                </c:pt>
                <c:pt idx="16">
                  <c:v>0.72</c:v>
                </c:pt>
                <c:pt idx="17">
                  <c:v>0.72</c:v>
                </c:pt>
                <c:pt idx="18">
                  <c:v>0.69</c:v>
                </c:pt>
                <c:pt idx="19">
                  <c:v>0.71</c:v>
                </c:pt>
                <c:pt idx="20">
                  <c:v>0.67</c:v>
                </c:pt>
                <c:pt idx="21">
                  <c:v>0.68</c:v>
                </c:pt>
                <c:pt idx="22">
                  <c:v>0.68</c:v>
                </c:pt>
                <c:pt idx="23">
                  <c:v>0.7</c:v>
                </c:pt>
                <c:pt idx="24">
                  <c:v>0.7</c:v>
                </c:pt>
                <c:pt idx="25">
                  <c:v>0.71</c:v>
                </c:pt>
                <c:pt idx="26">
                  <c:v>0.71</c:v>
                </c:pt>
                <c:pt idx="27">
                  <c:v>0.69</c:v>
                </c:pt>
                <c:pt idx="28">
                  <c:v>0.72250000000000003</c:v>
                </c:pt>
                <c:pt idx="29">
                  <c:v>0.71928571428571397</c:v>
                </c:pt>
              </c:numCache>
            </c:numRef>
          </c:yVal>
          <c:smooth val="1"/>
        </c:ser>
        <c:ser>
          <c:idx val="1"/>
          <c:order val="1"/>
          <c:tx>
            <c:strRef>
              <c:f>'CI Data'!$A$3</c:f>
              <c:strCache>
                <c:ptCount val="1"/>
                <c:pt idx="0">
                  <c:v>Reference</c:v>
                </c:pt>
              </c:strCache>
            </c:strRef>
          </c:tx>
          <c:marker>
            <c:symbol val="none"/>
          </c:marker>
          <c:xVal>
            <c:numRef>
              <c:f>'CI Data'!$B$1:$AE$1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'CI Data'!$B$3:$AE$3</c:f>
              <c:numCache>
                <c:formatCode>General</c:formatCode>
                <c:ptCount val="30"/>
                <c:pt idx="0">
                  <c:v>0.79</c:v>
                </c:pt>
                <c:pt idx="1">
                  <c:v>0.64</c:v>
                </c:pt>
                <c:pt idx="2">
                  <c:v>0.63</c:v>
                </c:pt>
                <c:pt idx="3">
                  <c:v>0.59</c:v>
                </c:pt>
                <c:pt idx="4">
                  <c:v>0.57999999999999996</c:v>
                </c:pt>
                <c:pt idx="5">
                  <c:v>0.56999999999999995</c:v>
                </c:pt>
                <c:pt idx="6">
                  <c:v>0.57999999999999996</c:v>
                </c:pt>
                <c:pt idx="7">
                  <c:v>0.55000000000000004</c:v>
                </c:pt>
                <c:pt idx="8">
                  <c:v>0.5</c:v>
                </c:pt>
                <c:pt idx="9">
                  <c:v>0.53</c:v>
                </c:pt>
                <c:pt idx="10">
                  <c:v>0.55000000000000004</c:v>
                </c:pt>
                <c:pt idx="11">
                  <c:v>0.48</c:v>
                </c:pt>
                <c:pt idx="12">
                  <c:v>0.48</c:v>
                </c:pt>
                <c:pt idx="13">
                  <c:v>0.51</c:v>
                </c:pt>
                <c:pt idx="14">
                  <c:v>0.52</c:v>
                </c:pt>
                <c:pt idx="15">
                  <c:v>0.52</c:v>
                </c:pt>
                <c:pt idx="16">
                  <c:v>0.53</c:v>
                </c:pt>
                <c:pt idx="17">
                  <c:v>0.49</c:v>
                </c:pt>
                <c:pt idx="18">
                  <c:v>0.48</c:v>
                </c:pt>
                <c:pt idx="19">
                  <c:v>0.5</c:v>
                </c:pt>
                <c:pt idx="20">
                  <c:v>0.51</c:v>
                </c:pt>
                <c:pt idx="21">
                  <c:v>0.5</c:v>
                </c:pt>
                <c:pt idx="22">
                  <c:v>0.5</c:v>
                </c:pt>
                <c:pt idx="23">
                  <c:v>0.47</c:v>
                </c:pt>
                <c:pt idx="24">
                  <c:v>0.51</c:v>
                </c:pt>
                <c:pt idx="25">
                  <c:v>0.5</c:v>
                </c:pt>
                <c:pt idx="26">
                  <c:v>0.51</c:v>
                </c:pt>
                <c:pt idx="27">
                  <c:v>0.51</c:v>
                </c:pt>
                <c:pt idx="28">
                  <c:v>0.51</c:v>
                </c:pt>
                <c:pt idx="29">
                  <c:v>0.51</c:v>
                </c:pt>
              </c:numCache>
            </c:numRef>
          </c:yVal>
          <c:smooth val="1"/>
        </c:ser>
        <c:dLbls>
          <c:showLegendKey val="0"/>
          <c:showVal val="0"/>
          <c:showCatName val="0"/>
          <c:showSerName val="0"/>
          <c:showPercent val="0"/>
          <c:showBubbleSize val="0"/>
        </c:dLbls>
        <c:axId val="160366592"/>
        <c:axId val="160372928"/>
      </c:scatterChart>
      <c:valAx>
        <c:axId val="160366592"/>
        <c:scaling>
          <c:orientation val="minMax"/>
          <c:max val="30"/>
          <c:min val="1"/>
        </c:scaling>
        <c:delete val="0"/>
        <c:axPos val="b"/>
        <c:majorGridlines/>
        <c:minorGridlines/>
        <c:title>
          <c:tx>
            <c:rich>
              <a:bodyPr/>
              <a:lstStyle/>
              <a:p>
                <a:pPr>
                  <a:defRPr/>
                </a:pPr>
                <a:r>
                  <a:rPr lang="en-US"/>
                  <a:t>Days Post</a:t>
                </a:r>
                <a:r>
                  <a:rPr lang="en-US" baseline="0"/>
                  <a:t> Discharge</a:t>
                </a:r>
                <a:endParaRPr lang="en-US"/>
              </a:p>
            </c:rich>
          </c:tx>
          <c:overlay val="0"/>
        </c:title>
        <c:numFmt formatCode="General" sourceLinked="1"/>
        <c:majorTickMark val="out"/>
        <c:minorTickMark val="none"/>
        <c:tickLblPos val="nextTo"/>
        <c:crossAx val="160372928"/>
        <c:crosses val="autoZero"/>
        <c:crossBetween val="midCat"/>
      </c:valAx>
      <c:valAx>
        <c:axId val="160372928"/>
        <c:scaling>
          <c:orientation val="minMax"/>
          <c:max val="1"/>
          <c:min val="0"/>
        </c:scaling>
        <c:delete val="0"/>
        <c:axPos val="l"/>
        <c:majorGridlines/>
        <c:minorGridlines/>
        <c:title>
          <c:tx>
            <c:rich>
              <a:bodyPr/>
              <a:lstStyle/>
              <a:p>
                <a:pPr>
                  <a:defRPr/>
                </a:pPr>
                <a:r>
                  <a:rPr lang="en-US"/>
                  <a:t>Concordance Index</a:t>
                </a:r>
              </a:p>
            </c:rich>
          </c:tx>
          <c:overlay val="0"/>
        </c:title>
        <c:numFmt formatCode="General" sourceLinked="1"/>
        <c:majorTickMark val="out"/>
        <c:minorTickMark val="none"/>
        <c:tickLblPos val="nextTo"/>
        <c:crossAx val="16036659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1B9AF-BD83-4BC0-A0C8-097557ECD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15194</Words>
  <Characters>86610</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UVA Health System</Company>
  <LinksUpToDate>false</LinksUpToDate>
  <CharactersWithSpaces>101601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Yerex, Robert *HS</dc:creator>
  <cp:lastModifiedBy>Yerex, Robert *HS</cp:lastModifiedBy>
  <cp:revision>3</cp:revision>
  <dcterms:created xsi:type="dcterms:W3CDTF">2015-11-06T21:06:00Z</dcterms:created>
  <dcterms:modified xsi:type="dcterms:W3CDTF">2016-02-29T14:33:00Z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id="8XTVO73j"/&gt;&lt;style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