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E3186" w:rsidRDefault="00B253D3" w:rsidP="003B48DE">
      <w:pPr>
        <w:pStyle w:val="Articletitle"/>
        <w:rPr>
          <w:lang w:val="en-US"/>
        </w:rPr>
      </w:pPr>
      <w:r>
        <w:fldChar w:fldCharType="begin"/>
      </w:r>
      <w:r>
        <w:instrText xml:space="preserve"> MACROBUTTON MTEditEquationSection2 </w:instrText>
      </w:r>
      <w:r w:rsidRPr="00B253D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FE3186" w:rsidRPr="003B48DE">
        <w:t xml:space="preserve">Machine Learning Based Prediction of </w:t>
      </w:r>
      <w:r w:rsidR="003D7665" w:rsidRPr="003B48DE">
        <w:t xml:space="preserve">Patient </w:t>
      </w:r>
      <w:r w:rsidR="00FE3186" w:rsidRPr="003B48DE">
        <w:t>Readmission Using CMS Claims Data</w:t>
      </w:r>
    </w:p>
    <w:p w:rsidR="007E0A49" w:rsidRDefault="008E35BD" w:rsidP="003B48DE">
      <w:pPr>
        <w:pStyle w:val="Authornames"/>
      </w:pPr>
      <w:r>
        <w:t>Robert P. Yerex, Ph.D</w:t>
      </w:r>
    </w:p>
    <w:p w:rsidR="00B63913" w:rsidRPr="00B63913" w:rsidRDefault="00B63913" w:rsidP="00B63913">
      <w:pPr>
        <w:rPr>
          <w:lang w:val="en-US"/>
        </w:rPr>
      </w:pPr>
      <w:r>
        <w:rPr>
          <w:lang w:val="en-US"/>
        </w:rPr>
        <w:t>March, 2015</w:t>
      </w:r>
    </w:p>
    <w:p w:rsidR="007E0A49" w:rsidRPr="003B48DE" w:rsidRDefault="007E0A49" w:rsidP="003B48DE">
      <w:pPr>
        <w:pStyle w:val="Affiliation"/>
      </w:pPr>
      <w:r w:rsidRPr="003B48DE">
        <w:t>UVA Medical Center Accountable Care Organization</w:t>
      </w:r>
    </w:p>
    <w:p w:rsidR="001C1E5A" w:rsidRPr="001C1E5A" w:rsidRDefault="0004359F" w:rsidP="001C1E5A">
      <w:pPr>
        <w:jc w:val="both"/>
        <w:rPr>
          <w:lang w:val="en-US"/>
        </w:rPr>
      </w:pPr>
      <w:r>
        <w:rPr>
          <w:lang w:val="en-US"/>
        </w:rPr>
        <w:pict>
          <v:rect id="_x0000_i1025" style="width:468pt;height:1pt" o:hralign="center" o:hrstd="t" o:hrnoshade="t" o:hr="t" fillcolor="black [3213]" stroked="f"/>
        </w:pict>
      </w:r>
    </w:p>
    <w:p w:rsidR="0013423F" w:rsidRDefault="001C1E5A" w:rsidP="001C1E5A">
      <w:pPr>
        <w:jc w:val="both"/>
        <w:rPr>
          <w:lang w:val="en-US"/>
        </w:rPr>
      </w:pPr>
      <w:r w:rsidRPr="001C1E5A">
        <w:rPr>
          <w:b/>
          <w:lang w:val="en-US"/>
        </w:rPr>
        <w:t>Objectives</w:t>
      </w:r>
      <w:r w:rsidR="000B129F">
        <w:rPr>
          <w:lang w:val="en-US"/>
        </w:rPr>
        <w:t>. To</w:t>
      </w:r>
      <w:r w:rsidRPr="001C1E5A">
        <w:rPr>
          <w:lang w:val="en-US"/>
        </w:rPr>
        <w:t xml:space="preserve"> </w:t>
      </w:r>
      <w:r w:rsidR="000B129F">
        <w:rPr>
          <w:lang w:val="en-US"/>
        </w:rPr>
        <w:t>d</w:t>
      </w:r>
      <w:r w:rsidR="0013423F">
        <w:rPr>
          <w:lang w:val="en-US"/>
        </w:rPr>
        <w:t>evelop a predictive model using statistical learning techniques to rank recently discharged patients on likelihood of readmission within 30 days of their discharge.</w:t>
      </w:r>
    </w:p>
    <w:p w:rsidR="001C1E5A" w:rsidRPr="001C1E5A" w:rsidRDefault="001C1E5A" w:rsidP="001C1E5A">
      <w:pPr>
        <w:jc w:val="both"/>
        <w:rPr>
          <w:lang w:val="en-US"/>
        </w:rPr>
      </w:pPr>
      <w:r w:rsidRPr="001C1E5A">
        <w:rPr>
          <w:b/>
          <w:lang w:val="en-US"/>
        </w:rPr>
        <w:t xml:space="preserve">Data Sources. </w:t>
      </w:r>
      <w:r w:rsidRPr="001C1E5A">
        <w:rPr>
          <w:lang w:val="en-US"/>
        </w:rPr>
        <w:t>Claim and Claim Line Feed (CCLF) files provided by the Centers for Medicare &amp; Medicaid Services (CMS).</w:t>
      </w:r>
      <w:r w:rsidR="0013423F">
        <w:rPr>
          <w:lang w:val="en-US"/>
        </w:rPr>
        <w:t xml:space="preserve"> </w:t>
      </w:r>
    </w:p>
    <w:p w:rsidR="001C1E5A" w:rsidRDefault="001C1E5A" w:rsidP="001C1E5A">
      <w:pPr>
        <w:jc w:val="both"/>
        <w:rPr>
          <w:b/>
          <w:lang w:val="en-US"/>
        </w:rPr>
      </w:pPr>
      <w:r>
        <w:rPr>
          <w:b/>
          <w:lang w:val="en-US"/>
        </w:rPr>
        <w:t>Statistical Learning / Predictive</w:t>
      </w:r>
      <w:r w:rsidRPr="001C1E5A">
        <w:rPr>
          <w:b/>
          <w:lang w:val="en-US"/>
        </w:rPr>
        <w:t xml:space="preserve"> Model</w:t>
      </w:r>
      <w:r w:rsidR="0013423F">
        <w:rPr>
          <w:b/>
          <w:lang w:val="en-US"/>
        </w:rPr>
        <w:t xml:space="preserve">. </w:t>
      </w:r>
      <w:r w:rsidR="0013423F">
        <w:rPr>
          <w:lang w:val="en-US"/>
        </w:rPr>
        <w:t>A Random Survival Forest (RSF) algorithm was used to predict each patient’s hazard function across the first 30 days post discharge.</w:t>
      </w:r>
    </w:p>
    <w:p w:rsidR="001C1E5A" w:rsidRDefault="001C1E5A" w:rsidP="00C37CDB">
      <w:pPr>
        <w:jc w:val="both"/>
      </w:pPr>
      <w:r>
        <w:rPr>
          <w:b/>
          <w:lang w:val="en-US"/>
        </w:rPr>
        <w:t>Model Performance</w:t>
      </w:r>
      <w:r w:rsidR="0013423F">
        <w:rPr>
          <w:b/>
          <w:lang w:val="en-US"/>
        </w:rPr>
        <w:t xml:space="preserve">. </w:t>
      </w:r>
      <w:r w:rsidR="0013423F">
        <w:rPr>
          <w:lang w:val="en-US"/>
        </w:rPr>
        <w:t xml:space="preserve">The most recently trained and tested incarnation of the model had a pairwise concordance index </w:t>
      </w:r>
      <w:r w:rsidR="00362E34">
        <w:rPr>
          <w:lang w:val="en-US"/>
        </w:rPr>
        <w:t xml:space="preserve">of 0.72 </w:t>
      </w:r>
      <w:r w:rsidR="0013423F">
        <w:rPr>
          <w:lang w:val="en-US"/>
        </w:rPr>
        <w:t>averag</w:t>
      </w:r>
      <w:r w:rsidR="00362E34">
        <w:rPr>
          <w:lang w:val="en-US"/>
        </w:rPr>
        <w:t>ed across the first 30 days post discharge.</w:t>
      </w:r>
      <w:r w:rsidR="0004359F">
        <w:pict>
          <v:rect id="_x0000_i1026" style="width:468pt;height:1pt" o:hralign="center" o:hrstd="t" o:hrnoshade="t" o:hr="t" fillcolor="black [3213]" stroked="f"/>
        </w:pict>
      </w:r>
    </w:p>
    <w:p w:rsidR="001C1E5A" w:rsidRDefault="001C1E5A" w:rsidP="0013423F">
      <w:pPr>
        <w:pStyle w:val="Heading1"/>
      </w:pPr>
    </w:p>
    <w:p w:rsidR="007E0A49" w:rsidRPr="00C06F37" w:rsidRDefault="007E0A49" w:rsidP="0013423F">
      <w:pPr>
        <w:pStyle w:val="Heading1"/>
      </w:pPr>
      <w:r w:rsidRPr="00C06F37">
        <w:t>Background</w:t>
      </w:r>
    </w:p>
    <w:p w:rsidR="00AF35C9" w:rsidRDefault="00B05D80" w:rsidP="001C1E5A">
      <w:pPr>
        <w:pStyle w:val="Paragraph"/>
      </w:pPr>
      <w:r>
        <w:t>The direct and indirect costs of unplanned patient readmission to hospital are staggering. By</w:t>
      </w:r>
      <w:r w:rsidR="00710584">
        <w:t xml:space="preserve"> one estimate, </w:t>
      </w:r>
      <w:r w:rsidR="00710584" w:rsidRPr="00710584">
        <w:t xml:space="preserve">19.5% of all </w:t>
      </w:r>
      <w:r w:rsidR="00710584" w:rsidRPr="00C06F37">
        <w:t>Medicare</w:t>
      </w:r>
      <w:r w:rsidR="00710584" w:rsidRPr="00710584">
        <w:t xml:space="preserve"> beneficiaries who were discharged from a</w:t>
      </w:r>
      <w:r w:rsidR="00710584">
        <w:t xml:space="preserve"> </w:t>
      </w:r>
      <w:r w:rsidR="00710584" w:rsidRPr="00710584">
        <w:t xml:space="preserve">Hospital </w:t>
      </w:r>
      <w:r w:rsidR="00710584">
        <w:t xml:space="preserve">(during 2003) </w:t>
      </w:r>
      <w:r w:rsidR="00710584" w:rsidRPr="00710584">
        <w:t>were readmitt</w:t>
      </w:r>
      <w:r w:rsidR="00710584">
        <w:t xml:space="preserve">ed within 30 days, </w:t>
      </w:r>
      <w:r w:rsidR="00710584" w:rsidRPr="00596B5F">
        <w:t>leading</w:t>
      </w:r>
      <w:r w:rsidR="00710584">
        <w:t xml:space="preserve"> to incremental costs of $17.4 billion</w:t>
      </w:r>
      <w:r w:rsidR="00D15199">
        <w:t xml:space="preserve"> </w:t>
      </w:r>
      <w:r w:rsidR="00710584">
        <w:fldChar w:fldCharType="begin"/>
      </w:r>
      <w:r w:rsidR="00412F2D">
        <w:instrText xml:space="preserve"> ADDIN ZOTERO_ITEM CSL_CITATION {"citationID":"1u3gaqknun","properties":{"formattedCitation":"[1]","plainCitation":"[1]"},"citationItems":[{"id":943,"uris":["http://zotero.org/users/1980127/items/STH8F4JH"],"uri":["http://zotero.org/users/1980127/items/STH8F4JH"],"itemData":{"id":943,"type":"article-journal","title":"Risk Factors for 30-Day Hospital Readmission among General Surgery Patients","container-title":"Journal of the American College of Surgeons","page":"322-330","volume":"215","issue":"3","source":"PubMed Central","abstract":"Background\nHospital readmission within 30-days of an index hospitalization is receiving increased scrutiny as a marker of poor quality patient care. This study identifies factors associated with 30-day readmission following General Surgery procedures.\n\nStudy Design\nUsing standard National Surgical Quality Improvement Project (NSQIP) protocol, preoperative, intraoperative, and postoperative outcomes were collected on patients undergoing inpatient General Surgery procedures at a single academic center between 2009 and 2011. Data were merged with our institutional clinical data warehouse to identify unplanned 30-day readmissions. Demographics, comorbidities, type of procedure, postoperative complications, and ICD-9 coding data were reviewed for patients who were readmitted. Univariate and multivariate analysis was utilized to identify risk factors associated with 30-day readmission.\n\nResults\n1442 General Surgery patients were reviewed. 163 (11.3%) were readmitted within 30 days of discharge. The most common reasons for readmission were gastrointestinal complaint/complication (27.6%), surgical infection (22.1%), and failure to thrive/malnutrition (10.4%). Comorbidities associated with risk of readmission included disseminated cancer, dyspnea, and preoperative open wound (p&lt;0.05 for all variables). Surgical procedures associated with higher rates of readmission included pancreatectomy, colectomy, and liver resection. Postoperative occurrences leading to increased risk of readmission were blood transfusion, postoperative pulmonary complication, wound complication, sepsis/shock, urinary tract infection, and vascular complications. Multivariable analysis demonstrates that the most significant independent risk factor for readmission is the occurrence of any postoperative complication (OR 4.20, 95% CI 2.89–6.13).\n\nConclusions\nRisk factors for readmission after General Surgery procedures are multi-factorial; however, postoperative complications appear to drive readmissions in surgical patients. Taking appropriate steps to minimize postoperative complications will decrease postoperative readmissions.","DOI":"10.1016/j.jamcollsurg.2012.05.024","ISSN":"1072-7515","note":"PMID: 22726893\nPMCID: PMC3423490","journalAbbreviation":"J Am Coll Surg","author":[{"family":"Kassin","given":"Michael T"},{"family":"Owen","given":"Rachel M"},{"family":"Perez","given":"Sebastian"},{"family":"Leeds","given":"Ira"},{"family":"Cox","given":"James C"},{"family":"Schnier","given":"Kurt"},{"family":"Sadiraj","given":"Vjollca"},{"family":"Sweeney","given":"John F"}],"issued":{"date-parts":[["2012",9]]},"accessed":{"date-parts":[["2015",2,3]]},"PMID":"22726893","PMCID":"PMC3423490"}}],"schema":"https://github.com/citation-style-language/schema/raw/master/csl-citation.json"} </w:instrText>
      </w:r>
      <w:r w:rsidR="00710584">
        <w:fldChar w:fldCharType="separate"/>
      </w:r>
      <w:r w:rsidR="00710584" w:rsidRPr="00710584">
        <w:t>[1]</w:t>
      </w:r>
      <w:r w:rsidR="00710584">
        <w:fldChar w:fldCharType="end"/>
      </w:r>
      <w:r w:rsidR="00710584">
        <w:t xml:space="preserve">. In addition to these direct costs, preventable readmissions </w:t>
      </w:r>
      <w:r w:rsidR="00710584" w:rsidRPr="001C1E5A">
        <w:t>compete</w:t>
      </w:r>
      <w:r w:rsidR="00710584">
        <w:t xml:space="preserve"> for resources within the hospital, decreasing the quality of care and increasing costs for all patients. </w:t>
      </w:r>
      <w:r w:rsidR="004F5F16">
        <w:t>Costs are not equally distributed among Medicare beneficiaries</w:t>
      </w:r>
      <w:r w:rsidR="004A50E3">
        <w:t>. F</w:t>
      </w:r>
      <w:r w:rsidR="004F5F16">
        <w:t>or</w:t>
      </w:r>
      <w:r w:rsidR="004F5F16" w:rsidRPr="004F5F16">
        <w:t xml:space="preserve"> example,</w:t>
      </w:r>
      <w:r w:rsidR="004A50E3">
        <w:t xml:space="preserve"> in 2006</w:t>
      </w:r>
      <w:r w:rsidR="00D15199">
        <w:t xml:space="preserve"> four</w:t>
      </w:r>
      <w:r w:rsidR="004F5F16" w:rsidRPr="004F5F16">
        <w:t xml:space="preserve"> percent of</w:t>
      </w:r>
      <w:r w:rsidR="004F5F16">
        <w:t xml:space="preserve"> </w:t>
      </w:r>
      <w:r w:rsidR="004F5F16" w:rsidRPr="004F5F16">
        <w:t xml:space="preserve">Medicaid enrollees </w:t>
      </w:r>
      <w:r w:rsidR="004A50E3">
        <w:t>were</w:t>
      </w:r>
      <w:r w:rsidR="004F5F16">
        <w:t xml:space="preserve"> </w:t>
      </w:r>
      <w:r w:rsidR="004F5F16" w:rsidRPr="004F5F16">
        <w:t xml:space="preserve">responsible for </w:t>
      </w:r>
      <w:r w:rsidR="004A50E3">
        <w:t>48 percent</w:t>
      </w:r>
      <w:r w:rsidR="004F5F16" w:rsidRPr="004F5F16">
        <w:t xml:space="preserve"> of all Medicaid spending</w:t>
      </w:r>
      <w:r w:rsidR="004F5F16">
        <w:rPr>
          <w:lang w:val="en-GB"/>
        </w:rPr>
        <w:t xml:space="preserve"> </w:t>
      </w:r>
      <w:r w:rsidR="004F5F16">
        <w:rPr>
          <w:lang w:val="en-GB"/>
        </w:rPr>
        <w:fldChar w:fldCharType="begin"/>
      </w:r>
      <w:r w:rsidR="00412F2D">
        <w:rPr>
          <w:lang w:val="en-GB"/>
        </w:rPr>
        <w:instrText xml:space="preserve"> ADDIN ZOTERO_ITEM CSL_CITATION {"citationID":"8t1d5jma6","properties":{"formattedCitation":"[2]","plainCitation":"[2]"},"citationItems":[{"id":1015,"uris":["http://zotero.org/users/1980127/items/EKPNA6PE"],"uri":["http://zotero.org/users/1980127/items/EKPNA6PE"],"itemData":{"id":1015,"type":"article-journal","title":"Improving The Management Of Care For High-Cost Medicaid Patients","container-title":"Health Affairs","page":"1643-1654","volume":"26","issue":"6","source":"content.healthaffairs.org","abstract":"Increased policy attention is being focused on the management of high-cost cases in Medicaid. In this paper we present an algorithm that identifies patients at high risk of future hospitalizations and offer a business-case analysis with a range of assumptions about the rate of reduction in future hospitalization and the cost of the intervention. The characteristics of the patients identified by the algorithm are described, and the implications of these findings for policymakers, payers, and providers interested in responding more effectively to the needs of these patients are discussed, including the challenges likely to be encountered in implementing an intervention initiative.","DOI":"10.1377/hlthaff.26.6.1643","ISSN":"0278-2715, 1544-5208","note":"PMID: 17978384","journalAbbreviation":"Health Aff","language":"en","author":[{"family":"Billings","given":"John"},{"family":"Mijanovich","given":"Tod"}],"issued":{"date-parts":[["2007",11,1]]},"accessed":{"date-parts":[["2015",3,2]]},"PMID":"17978384"}}],"schema":"https://github.com/citation-style-language/schema/raw/master/csl-citation.json"} </w:instrText>
      </w:r>
      <w:r w:rsidR="004F5F16">
        <w:rPr>
          <w:lang w:val="en-GB"/>
        </w:rPr>
        <w:fldChar w:fldCharType="separate"/>
      </w:r>
      <w:r w:rsidR="004F5F16" w:rsidRPr="004F5F16">
        <w:t>[2]</w:t>
      </w:r>
      <w:r w:rsidR="004F5F16">
        <w:rPr>
          <w:lang w:val="en-GB"/>
        </w:rPr>
        <w:fldChar w:fldCharType="end"/>
      </w:r>
      <w:r w:rsidR="004A50E3">
        <w:rPr>
          <w:lang w:val="en-GB"/>
        </w:rPr>
        <w:t>.</w:t>
      </w:r>
    </w:p>
    <w:p w:rsidR="0083767A" w:rsidRDefault="002C280B" w:rsidP="001C1E5A">
      <w:pPr>
        <w:pStyle w:val="Paragraph"/>
      </w:pPr>
      <w:r>
        <w:t xml:space="preserve">While not all, many readmissions that occur within 30 days of discharge </w:t>
      </w:r>
      <w:r w:rsidR="004A50E3">
        <w:t xml:space="preserve">may be </w:t>
      </w:r>
      <w:r>
        <w:t xml:space="preserve">preventable. </w:t>
      </w:r>
      <w:r w:rsidR="00D15199">
        <w:t xml:space="preserve">The </w:t>
      </w:r>
      <w:r w:rsidR="00D15199" w:rsidRPr="00D15199">
        <w:t xml:space="preserve">Centers for Medicare &amp; Medicaid Services </w:t>
      </w:r>
      <w:r w:rsidR="00D15199">
        <w:t>(</w:t>
      </w:r>
      <w:r>
        <w:t>CMS</w:t>
      </w:r>
      <w:r w:rsidR="00D15199">
        <w:t>)</w:t>
      </w:r>
      <w:r>
        <w:t xml:space="preserve"> estimates that if all hospitals attained reductions in 30 day readmission comparable to the best in class facilities, the annual reduction in costs would be $1.9 billion.</w:t>
      </w:r>
      <w:r w:rsidR="00AE32AD">
        <w:t xml:space="preserve"> It is well understood that interventions applied immediately post-discharge can have a significant positive impact in reducing unplanned, preventable readmissions</w:t>
      </w:r>
      <w:r w:rsidR="006246A8">
        <w:t> </w:t>
      </w:r>
      <w:r w:rsidR="00AE32AD">
        <w:fldChar w:fldCharType="begin"/>
      </w:r>
      <w:r w:rsidR="004F5F16">
        <w:instrText xml:space="preserve"> ADDIN ZOTERO_ITEM CSL_CITATION {"citationID":"10buakue54","properties":{"formattedCitation":"[3]","plainCitation":"[3]"},"citationItems":[{"id":917,"uris":["http://zotero.org/users/1980127/items/R3IVJU4C"],"uri":["http://zotero.org/users/1980127/items/R3IVJU4C"],"itemData":{"id":917,"type":"article-journal","title":"A reengineered hospital discharge program to decrease rehospitalization: a randomized trial","container-title":"Annals of Internal Medicine","page":"178-187","volume":"150","issue":"3","source":"NCBI PubMed","abstract":"BACKGROUND: Emergency department visits and rehospitalization are common after hospital discharge.\nOBJECTIVE: To test the effects of an intervention designed to minimize hospital utilization after discharge.\nDESIGN: Randomized trial using block randomization of 6 and 8. Randomly arranged index cards were placed in opaque envelopes labeled consecutively with study numbers, and participants were assigned a study group by revealing the index card.\nSETTING: General medical service at an urban, academic, safety-net hospital.\nPATIENTS: 749 English-speaking hospitalized adults (mean age, 49.9 years).\nINTERVENTION: A nurse discharge advocate worked with patients during their hospital stay to arrange follow-up appointments, confirm medication reconciliation, and conduct patient education with an individualized instruction booklet that was sent to their primary care provider. A clinical pharmacist called patients 2 to 4 days after discharge to reinforce the discharge plan and review medications. Participants and providers were not blinded to treatment assignment.\nMEASUREMENTS: Primary outcomes were emergency department visits and hospitalizations within 30 days of discharge. Secondary outcomes were self-reported preparedness for discharge and frequency of primary care providers' follow-up within 30 days of discharge. Research staff doing follow-up were blinded to study group assignment.\nRESULTS: Participants in the intervention group (n = 370) had a lower rate of hospital utilization than those receiving usual care (n = 368) (0.314 vs. 0.451 visit per person per month; incidence rate ratio, 0.695 [95% CI, 0.515 to 0.937]; P = 0.009). The intervention was most effective among participants with hospital utilization in the 6 months before index admission (P = 0.014). Adverse events were not assessed; these data were collected but are still being analyzed.\nLIMITATION: This was a single-center study in which not all potentially eligible patients could be enrolled, and outcome assessment sometimes relied on participant report.\nCONCLUSION: A package of discharge services reduced hospital utilization within 30 days of discharge.\nFUNDING: Agency for Healthcare Research and Quality and National Heart, Lung, and Blood Institute, National Institutes of Health.","ISSN":"1539-3704","note":"PMID: 19189907 \nPMCID: PMC2738592","shortTitle":"A reengineered hospital discharge program to decrease rehospitalization","journalAbbreviation":"Ann. Intern. Med.","language":"eng","author":[{"family":"Jack","given":"Brian W."},{"family":"Chetty","given":"Veerappa K."},{"family":"Anthony","given":"David"},{"family":"Greenwald","given":"Jeffrey L."},{"family":"Sanchez","given":"Gail M."},{"family":"Johnson","given":"Anna E."},{"family":"Forsythe","given":"Shaula R."},{"family":"O'Donnell","given":"Julie K."},{"family":"Paasche-Orlow","given":"Michael K."},{"family":"Manasseh","given":"Christopher"},{"family":"Martin","given":"Stephen"},{"family":"Culpepper","given":"Larry"}],"issued":{"date-parts":[["2009",2,3]]},"PMID":"19189907","PMCID":"PMC2738592"}}],"schema":"https://github.com/citation-style-language/schema/raw/master/csl-citation.json"} </w:instrText>
      </w:r>
      <w:r w:rsidR="00AE32AD">
        <w:fldChar w:fldCharType="separate"/>
      </w:r>
      <w:r w:rsidR="004F5F16" w:rsidRPr="004F5F16">
        <w:t>[3]</w:t>
      </w:r>
      <w:r w:rsidR="00AE32AD">
        <w:fldChar w:fldCharType="end"/>
      </w:r>
      <w:r w:rsidR="00AE32AD">
        <w:t>. In order to most effectively apply such intervention strategies on a cost effective basis, relative risk of readmission can be used to determine which patients may be most effectively targeted</w:t>
      </w:r>
      <w:r w:rsidR="004A50E3">
        <w:t xml:space="preserve"> </w:t>
      </w:r>
      <w:r w:rsidR="00AE32AD">
        <w:fldChar w:fldCharType="begin"/>
      </w:r>
      <w:r w:rsidR="00412F2D">
        <w:instrText xml:space="preserve"> ADDIN ZOTERO_ITEM CSL_CITATION {"citationID":"hjosnbhta","properties":{"formattedCitation":"[4]","plainCitation":"[4]"},"citationItems":[{"id":709,"uris":["http://zotero.org/users/1980127/items/BQBRW5KP"],"uri":["http://zotero.org/users/1980127/items/BQBRW5KP"],"itemData":{"id":709,"type":"book","title":"Risk Prediction Models for Hospital Readmission: A Systematic Review","collection-title":"VA Evidence-based Synthesis Program Reports","publisher":"Department of Veterans Affairs (US)","publisher-place":"Washington (DC)","source":"NCBI PubMed","event-place":"Washington (DC)","abstract":"An increasing body of literature attempts to describe and validate hospital readmission risk prediction tools. Interest in such models has grown for two reasons. First, transitional care interventions may reduce readmissions among chronically ill adults. Readmission risk assessment could be used to help target the delivery of these resource-intensive interventions to the patients at greatest risk. Ideally, models designed for this purpose would provide clinically relevant stratification of readmission risk and give information early enough during the hospitalization to trigger a transitional care intervention, many of which involve discharge planning and begin well before hospital discharge. Second, there is interest in using readmission rates as a quality metric. Recently, the Centers for Medicare &amp; Medicaid Services (CMS) began using readmission rate as a publicly reported metric, with plans to lower reimbursement to hospitals with excess risk-standardized readmission rates. Valid risk adjustment methods are required for calculation of risk-standardized readmission rates which could, in turn, be used for hospital comparison, public reporting, and reimbursement determinations. Models designed for these purposes should have good predictive ability; be deployable in large populations; use reliable data that can be easily obtained; and use variables that are clinically related to, and validated in, the populations in which use is intended. This systematic review was performed to synthesize the available literature on validated readmission risk prediction models, describe their performance, and assess their suitability for clinical or administrative use.","URL":"http://www.ncbi.nlm.nih.gov/books/NBK82578/","call-number":"NBK82578","note":"PMID: 22206113","shortTitle":"Risk Prediction Models for Hospital Readmission","language":"eng","author":[{"family":"Kansagara","given":"Devan"},{"family":"Englander","given":"Honora"},{"family":"Salanitro","given":"Amanda"},{"family":"Kagen","given":"David"},{"family":"Theobald","given":"Cecelia"},{"family":"Freeman","given":"Michele"},{"family":"Kripalani","given":"Sunil"}],"issued":{"date-parts":[["2011"]]},"accessed":{"date-parts":[["2014",9,3]]},"PMID":"22206113"}}],"schema":"https://github.com/citation-style-language/schema/raw/master/csl-citation.json"} </w:instrText>
      </w:r>
      <w:r w:rsidR="00AE32AD">
        <w:fldChar w:fldCharType="separate"/>
      </w:r>
      <w:r w:rsidR="004F5F16" w:rsidRPr="004F5F16">
        <w:t>[4]</w:t>
      </w:r>
      <w:r w:rsidR="00AE32AD">
        <w:fldChar w:fldCharType="end"/>
      </w:r>
      <w:r w:rsidR="00AE32AD">
        <w:t>.</w:t>
      </w:r>
    </w:p>
    <w:p w:rsidR="00CA7D3A" w:rsidRPr="00CA7D3A" w:rsidRDefault="00CA7D3A" w:rsidP="001C1E5A">
      <w:pPr>
        <w:pStyle w:val="Paragraph"/>
      </w:pPr>
    </w:p>
    <w:p w:rsidR="00AE32AD" w:rsidRDefault="0053185D" w:rsidP="0013423F">
      <w:pPr>
        <w:pStyle w:val="Heading1"/>
      </w:pPr>
      <w:r>
        <w:t xml:space="preserve">Review of </w:t>
      </w:r>
      <w:r w:rsidR="008803F8">
        <w:t xml:space="preserve">Published </w:t>
      </w:r>
      <w:r w:rsidR="00AE32AD">
        <w:t>Readmission Risk Models</w:t>
      </w:r>
    </w:p>
    <w:p w:rsidR="00EC160A" w:rsidRDefault="008803F8" w:rsidP="001C1E5A">
      <w:pPr>
        <w:pStyle w:val="Paragraph"/>
      </w:pPr>
      <w:r>
        <w:t>Readmission risk models generally fall into one of two broad</w:t>
      </w:r>
      <w:r w:rsidRPr="008803F8">
        <w:t xml:space="preserve"> </w:t>
      </w:r>
      <w:r>
        <w:t xml:space="preserve">categories, those used largely designed to facilitate calculation of risk-standardized readmission rates </w:t>
      </w:r>
      <w:r w:rsidR="00FE52DC">
        <w:t>for hospital</w:t>
      </w:r>
      <w:r>
        <w:t xml:space="preserve"> comparison purposes, and those used to identify high-risk patients</w:t>
      </w:r>
      <w:r w:rsidR="00FE52DC">
        <w:t xml:space="preserve">. </w:t>
      </w:r>
      <w:r w:rsidR="004A50E3">
        <w:t xml:space="preserve">In 2011, </w:t>
      </w:r>
      <w:r w:rsidR="008A31FB">
        <w:t>Kansagara et. a</w:t>
      </w:r>
      <w:r w:rsidR="00AE32AD">
        <w:t>l.</w:t>
      </w:r>
      <w:r w:rsidR="008A31FB">
        <w:t xml:space="preserve"> [4],</w:t>
      </w:r>
      <w:r w:rsidR="00AE32AD">
        <w:t xml:space="preserve"> systematically reviewed the </w:t>
      </w:r>
      <w:r w:rsidR="004A50E3">
        <w:t>p</w:t>
      </w:r>
      <w:r w:rsidR="00AE32AD">
        <w:t>erformance of 26 predictive model</w:t>
      </w:r>
      <w:r w:rsidR="00FE52DC">
        <w:t xml:space="preserve">s targeting 30 day readmission, half of which were risk adjustment models with the other half being used to identify high risk </w:t>
      </w:r>
      <w:r w:rsidR="00FE52DC">
        <w:lastRenderedPageBreak/>
        <w:t xml:space="preserve">patients. For purposes here, it is the identification of high-risk patients that is of interest. In the Kansagara study, as is also the case for all other models reviewed by this author, the outcome, or target variable was binary and can be stated as </w:t>
      </w:r>
      <w:r w:rsidR="00FE52DC">
        <w:rPr>
          <w:i/>
        </w:rPr>
        <w:t>was the patient readmitted with 30 days of discharge, or not</w:t>
      </w:r>
      <w:r w:rsidR="00FE52DC">
        <w:t xml:space="preserve">. </w:t>
      </w:r>
      <w:r w:rsidR="0053185D">
        <w:t xml:space="preserve">The vast majority of the </w:t>
      </w:r>
      <w:r w:rsidR="00867890">
        <w:t>individual patient outcome targeted models in the Kansagara study used some form of regression adapted for binary outcomes, typically logistic regression.</w:t>
      </w:r>
      <w:r w:rsidR="00743DBE">
        <w:t xml:space="preserve"> </w:t>
      </w:r>
      <w:r w:rsidR="0053185D">
        <w:t xml:space="preserve">There are many alternative approaches which to logistic regression, most with better performance </w:t>
      </w:r>
      <w:r w:rsidR="0017365E">
        <w:t>characteristics;</w:t>
      </w:r>
      <w:r w:rsidR="0053185D">
        <w:t xml:space="preserve"> however these alternatives are more </w:t>
      </w:r>
      <w:r w:rsidR="0017365E">
        <w:t>mathematically challenging, computationally intensive, and the r</w:t>
      </w:r>
      <w:r w:rsidR="00743DBE">
        <w:t xml:space="preserve">esulting models are </w:t>
      </w:r>
      <w:r w:rsidR="0017365E">
        <w:t>less</w:t>
      </w:r>
      <w:r w:rsidR="00743DBE">
        <w:t xml:space="preserve"> amenable to </w:t>
      </w:r>
      <w:r w:rsidR="0017365E">
        <w:t>interpretation than the less sophisticated approaches using logistic regression</w:t>
      </w:r>
      <w:r w:rsidR="000544E3">
        <w:t xml:space="preserve"> </w:t>
      </w:r>
      <w:r w:rsidR="000544E3">
        <w:fldChar w:fldCharType="begin"/>
      </w:r>
      <w:r w:rsidR="00412F2D">
        <w:instrText xml:space="preserve"> ADDIN ZOTERO_ITEM CSL_CITATION {"citationID":"19sv6oubf6","properties":{"formattedCitation":"[5]","plainCitation":"[5]"},"citationItems":[{"id":176,"uris":["http://zotero.org/users/1980127/items/HW5TQR26"],"uri":["http://zotero.org/users/1980127/items/HW5TQR26"],"itemData":{"id":176,"type":"book","title":"Applied Predictive Modeling","publisher":"Springer","publisher-place":"New York","number-of-pages":"600","edition":"2013 edition","source":"Amazon.com","event-place":"New York","abstract":"This text is intended for a broad audience as both an introduction to predictive models as well as a guide to applying them. Non-mathematical readers will appreciate the intuitive explanations of the techniques while an emphasis on problem-solving with real data across a wide variety of applications will aid practitioners who wish to extend their expertise. Readers should have knowledge of basic statistical ideas, such as correlation and linear regression analysis. While the text is biased against complex equations, a mathematical background is needed for advanced topics.Dr. Kuhn is a Director of Non-Clinical Statistics at Pfizer Global R&amp;D in Groton Connecticut. He has been applying predictive models in the pharmaceutical and diagnostic industries for over 15 years and is the author of a number of R packages. Dr. Johnson has more than a decade of statistical consulting and predictive modeling experience in pharmaceutical research and development.  He is a co-founder of Arbor Analytics, a firm specializing in predictive modeling and is a former Director of Statistics at Pfizer Global R&amp;D.  His scholarly work centers on the application and development of statistical methodology and learning algorithms.Applied Predictive Modeling covers the overall predictive modeling process, beginning with the crucial steps of data preprocessing, data splitting and foundations of model tuning.  The text then provides intuitive explanations of numerous common and modern regression and classification techniques, always with an emphasis on illustrating and solving real data problems.  Addressing practical concerns extends beyond model fitting to topics such as handling class imbalance, selecting predictors, and pinpointing causes of poor model performance—all of which are problems that occur frequently in practice. The text illustrates all parts of the modeling process through many hands-on, real-life examples.  And every chapter contains extensive R code for each step of the process.  The data sets and corresponding code are available in the book’s companion AppliedPredictiveModeling R package, which is freely available on the CRAN archive. This multi-purpose text can be used as an introduction to predictive models and the overall modeling process, a practitioner’s reference handbook, or as a text for advanced undergraduate or graduate level predictive modeling courses.  To that end, each chapter contains problem sets to help solidify the covered concepts and uses data available in the book’s R package. Readers and students interested in implementing the methods should have some basic knowledge of R.  And a handful of the more advanced topics require some mathematical knowledge.","ISBN":"9781461468486","language":"English","author":[{"family":"Kuhn","given":"Max"},{"family":"Johnson","given":"Kjell"}],"issued":{"date-parts":[["2013",9,15]]}}}],"schema":"https://github.com/citation-style-language/schema/raw/master/csl-citation.json"} </w:instrText>
      </w:r>
      <w:r w:rsidR="000544E3">
        <w:fldChar w:fldCharType="separate"/>
      </w:r>
      <w:r w:rsidR="000544E3" w:rsidRPr="000544E3">
        <w:t>[5]</w:t>
      </w:r>
      <w:r w:rsidR="000544E3">
        <w:fldChar w:fldCharType="end"/>
      </w:r>
      <w:r w:rsidR="00743DBE">
        <w:t xml:space="preserve">. </w:t>
      </w:r>
    </w:p>
    <w:p w:rsidR="00D06D58" w:rsidRDefault="000544E3" w:rsidP="001C1E5A">
      <w:pPr>
        <w:pStyle w:val="Paragraph"/>
      </w:pPr>
      <w:r>
        <w:t>Among the models in the Kansagara study, a</w:t>
      </w:r>
      <w:r w:rsidR="00867890">
        <w:t xml:space="preserve">s </w:t>
      </w:r>
      <w:r w:rsidR="00AE32AD">
        <w:t>with predictive modeling in general, the most critical factors impacting pred</w:t>
      </w:r>
      <w:r>
        <w:t xml:space="preserve">ictive performance were feature selection </w:t>
      </w:r>
      <w:r w:rsidR="00AE32AD">
        <w:t xml:space="preserve">and data source. Models incorporating features related to near real time clinical measures at the time of patient discharge had </w:t>
      </w:r>
      <w:r>
        <w:t xml:space="preserve">performed significantly better than those </w:t>
      </w:r>
      <w:r w:rsidR="00AE32AD">
        <w:t>that</w:t>
      </w:r>
      <w:r w:rsidR="004D43EF">
        <w:t xml:space="preserve"> relied </w:t>
      </w:r>
      <w:r>
        <w:t xml:space="preserve">solely </w:t>
      </w:r>
      <w:r w:rsidR="004D43EF">
        <w:t>on retr</w:t>
      </w:r>
      <w:r>
        <w:t>ospective administrative data.</w:t>
      </w:r>
      <w:r w:rsidR="004D43EF">
        <w:t xml:space="preserve"> </w:t>
      </w:r>
    </w:p>
    <w:p w:rsidR="001C1E5A" w:rsidRDefault="001C1E5A" w:rsidP="0013423F">
      <w:pPr>
        <w:pStyle w:val="Heading1"/>
      </w:pPr>
      <w:r>
        <w:t>Data</w:t>
      </w:r>
    </w:p>
    <w:p w:rsidR="001C1E5A" w:rsidRPr="000B43A4" w:rsidRDefault="001C1E5A" w:rsidP="001C1E5A">
      <w:pPr>
        <w:pStyle w:val="Newparagraph"/>
      </w:pPr>
      <w:r>
        <w:t>The data used for development of the predictive models in this study were extracted from the Claim and Claim Line Feed (CCLF) files provided by the Centers</w:t>
      </w:r>
      <w:r w:rsidRPr="001D28CF">
        <w:t xml:space="preserve"> for Medicare &amp; Medicaid Services</w:t>
      </w:r>
      <w:r>
        <w:t xml:space="preserve"> (CMS), to participating Accountable Care Organization (ACO) </w:t>
      </w:r>
      <w:r>
        <w:fldChar w:fldCharType="begin"/>
      </w:r>
      <w:r>
        <w:instrText xml:space="preserve"> ADDIN ZOTERO_ITEM CSL_CITATION {"citationID":"h98f560dc","properties":{"formattedCitation":"[6]","plainCitation":"[6]"},"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(IP)","language":"English","author":[{"family":"Northrup Grumman Corporation Information Systems","given":""}],"issued":{"date-parts":[["2013",7,29]]}}}],"schema":"https://github.com/citation-style-language/schema/raw/master/csl-citation.json"} </w:instrText>
      </w:r>
      <w:r>
        <w:fldChar w:fldCharType="separate"/>
      </w:r>
      <w:r w:rsidRPr="001D28CF">
        <w:t>[6]</w:t>
      </w:r>
      <w:r>
        <w:fldChar w:fldCharType="end"/>
      </w:r>
      <w:r>
        <w:t>. Because they are transaction oriented, considerable data manipulation was required in order to transform the CCLF records into a set of event history records each patient describing one or more spells of care that involved one or more episodes of inpatient hospital care</w:t>
      </w:r>
      <w:r>
        <w:rPr>
          <w:rStyle w:val="FootnoteReference"/>
        </w:rPr>
        <w:footnoteReference w:id="1"/>
      </w:r>
      <w:r>
        <w:t>. The final data set included 5,364 patients with a total of 10,167 inpatient care episodes encompassed within 9,461 care spells. The earliest inpatient event occurred on 2013-01-01 and the last on 2014-09-17.</w:t>
      </w:r>
    </w:p>
    <w:p w:rsidR="0053185D" w:rsidRPr="0053185D" w:rsidRDefault="0074050C" w:rsidP="0013423F">
      <w:pPr>
        <w:pStyle w:val="Heading1"/>
      </w:pPr>
      <w:r w:rsidRPr="0013423F">
        <w:t>Methods</w:t>
      </w:r>
    </w:p>
    <w:p w:rsidR="00E70BF6" w:rsidRDefault="0053185D" w:rsidP="001C1E5A">
      <w:pPr>
        <w:pStyle w:val="Paragraph"/>
      </w:pPr>
      <w:r>
        <w:t xml:space="preserve">As described earlier, the performance of </w:t>
      </w:r>
      <w:r w:rsidR="00354A29">
        <w:t>the currently published models designed to pred</w:t>
      </w:r>
      <w:r w:rsidR="00A179E0">
        <w:t>ict 30 day readmission is poor, suggesting that there are relationships between factors</w:t>
      </w:r>
    </w:p>
    <w:p w:rsidR="00A929F3" w:rsidRDefault="00A179E0" w:rsidP="001C1E5A">
      <w:pPr>
        <w:pStyle w:val="Newparagraph"/>
      </w:pPr>
      <w:r>
        <w:t xml:space="preserve">attributable to the patients and their environment, the course of </w:t>
      </w:r>
      <w:r w:rsidR="00E70BF6">
        <w:t xml:space="preserve">their </w:t>
      </w:r>
      <w:r>
        <w:t xml:space="preserve">treatment, the progression </w:t>
      </w:r>
      <w:r w:rsidR="006A38EE">
        <w:t xml:space="preserve">of </w:t>
      </w:r>
      <w:r>
        <w:t>their illness, and the likelihood</w:t>
      </w:r>
      <w:r w:rsidR="006A38EE">
        <w:t xml:space="preserve"> they will be readmit</w:t>
      </w:r>
      <w:r w:rsidR="0074050C">
        <w:t xml:space="preserve">ted within 30 days of discharge, which are too complex to be captured with simpler </w:t>
      </w:r>
      <w:r w:rsidR="00CF0E81">
        <w:t xml:space="preserve">predictive model algorithms targeting </w:t>
      </w:r>
      <w:r w:rsidR="0074050C">
        <w:t>categorical outcome</w:t>
      </w:r>
      <w:r w:rsidR="00CF0E81">
        <w:t>s.</w:t>
      </w:r>
      <w:r w:rsidR="00E70BF6">
        <w:t xml:space="preserve"> In many fields where predictive modeling is used, the desire for the most accurate prediction far outweighs the need for interpretability; this is not generally true in the medical field where there is a tension between prediction and interpretation. If a model is to be designed to predict </w:t>
      </w:r>
      <w:r w:rsidR="00E70BF6" w:rsidRPr="001C1E5A">
        <w:t>patient</w:t>
      </w:r>
      <w:r w:rsidR="00E70BF6">
        <w:t xml:space="preserve"> readmission as accurately as possible, it should not be constrained by the requirement for interpretability.</w:t>
      </w:r>
      <w:r w:rsidR="00A929F3">
        <w:t xml:space="preserve"> Kuhn and Johnson, among others have stated that in a medical setting, it would be unethical to adopt a model that is more easily interpreted at the sacrifice of accuracy. “</w:t>
      </w:r>
      <w:r w:rsidR="00A929F3" w:rsidRPr="00A929F3">
        <w:rPr>
          <w:i/>
        </w:rPr>
        <w:t>As long as the model can be appropriately validated, it should not matter whether it is a black box or a simple interpretable model</w:t>
      </w:r>
      <w:r w:rsidR="00A929F3">
        <w:t xml:space="preserve">” </w:t>
      </w:r>
      <w:r w:rsidR="00A929F3">
        <w:fldChar w:fldCharType="begin"/>
      </w:r>
      <w:r w:rsidR="00412F2D">
        <w:instrText xml:space="preserve"> ADDIN ZOTERO_ITEM CSL_CITATION {"citationID":"1qcfothcvj","properties":{"formattedCitation":"[5]","plainCitation":"[5]"},"citationItems":[{"id":176,"uris":["http://zotero.org/users/1980127/items/HW5TQR26"],"uri":["http://zotero.org/users/1980127/items/HW5TQR26"],"itemData":{"id":176,"type":"book","title":"Applied Predictive Modeling","publisher":"Springer","publisher-place":"New York","number-of-pages":"600","edition":"2013 edition","source":"Amazon.com","event-place":"New York","abstract":"This text is intended for a broad audience as both an introduction to predictive models as well as a guide to applying them. Non-mathematical readers will appreciate the intuitive explanations of the techniques while an emphasis on problem-solving with real data across a wide variety of applications will aid practitioners who wish to extend their expertise. Readers should have knowledge of basic statistical ideas, such as correlation and linear regression analysis. While the text is biased against complex equations, a mathematical background is needed for advanced topics.Dr. Kuhn is a Director of Non-Clinical Statistics at Pfizer Global R&amp;D in Groton Connecticut. He has been applying predictive models in the pharmaceutical and diagnostic industries for over 15 years and is the author of a number of R packages. Dr. Johnson has more than a decade of statistical consulting and predictive modeling experience in pharmaceutical research and development.  He is a co-founder of Arbor Analytics, a firm specializing in predictive modeling and is a former Director of Statistics at Pfizer Global R&amp;D.  His scholarly work centers on the application and development of statistical methodology and learning algorithms.Applied Predictive Modeling covers the overall predictive modeling process, beginning with the crucial steps of data preprocessing, data splitting and foundations of model tuning.  The text then provides intuitive explanations of numerous common and modern regression and classification techniques, always with an emphasis on illustrating and solving real data problems.  Addressing practical concerns extends beyond model fitting to topics such as handling class imbalance, selecting predictors, and pinpointing causes of poor model performance—all of which are problems that occur frequently in practice. The text illustrates all parts of the modeling process through many hands-on, real-life examples.  And every chapter contains extensive R code for each step of the process.  The data sets and corresponding code are available in the book’s companion AppliedPredictiveModeling R package, which is freely available on the CRAN archive. This multi-purpose text can be used as an introduction to predictive models and the overall modeling process, a practitioner’s reference handbook, or as a text for advanced undergraduate or graduate level predictive modeling courses.  To that end, each chapter contains problem sets to help solidify the covered concepts and uses data available in the book’s R package. Readers and students interested in implementing the methods should have some basic knowledge of R.  And a handful of the more advanced topics require some mathematical knowledge.","ISBN":"9781461468486","language":"English","author":[{"family":"Kuhn","given":"Max"},{"family":"Johnson","given":"Kjell"}],"issued":{"date-parts":[["2013",9,15]]}}}],"schema":"https://github.com/citation-style-language/schema/raw/master/csl-citation.json"} </w:instrText>
      </w:r>
      <w:r w:rsidR="00A929F3">
        <w:fldChar w:fldCharType="separate"/>
      </w:r>
      <w:r w:rsidR="00A929F3" w:rsidRPr="00A929F3">
        <w:t>[5]</w:t>
      </w:r>
      <w:r w:rsidR="00A929F3">
        <w:fldChar w:fldCharType="end"/>
      </w:r>
      <w:r w:rsidR="00A929F3">
        <w:t xml:space="preserve">. </w:t>
      </w:r>
    </w:p>
    <w:p w:rsidR="00CF0E81" w:rsidRPr="0004018A" w:rsidRDefault="00CF0E81" w:rsidP="0004018A">
      <w:pPr>
        <w:pStyle w:val="Heading2"/>
      </w:pPr>
      <w:r w:rsidRPr="0004018A">
        <w:lastRenderedPageBreak/>
        <w:t>Survival Modeling</w:t>
      </w:r>
    </w:p>
    <w:p w:rsidR="00772EDA" w:rsidRDefault="00934001" w:rsidP="001C1E5A">
      <w:pPr>
        <w:pStyle w:val="Paragraph"/>
      </w:pPr>
      <w:r>
        <w:t>Time to patient readmission data is amenable to the application of survival modeling, a collection of statistical techniques that take into many of the issues inherent in dealing with time to event data including censoring and competing risks</w:t>
      </w:r>
      <w:r w:rsidR="000F606D">
        <w:t xml:space="preserve"> </w:t>
      </w:r>
      <w:r w:rsidR="000F606D">
        <w:fldChar w:fldCharType="begin"/>
      </w:r>
      <w:r w:rsidR="00412F2D">
        <w:instrText xml:space="preserve"> ADDIN ZOTERO_ITEM CSL_CITATION {"citationID":"2b2m59basa","properties":{"formattedCitation":"[7]","plainCitation":"[7]"},"citationItems":[{"id":134,"uris":["http://zotero.org/users/1980127/items/EAXIXW2C"],"uri":["http://zotero.org/users/1980127/items/EAXIXW2C"],"itemData":{"id":134,"type":"book","title":"Statistical Methods for Survival Data Analysis","publisher":"Wiley-Interscience","publisher-place":"New York","number-of-pages":"534","edition":"3 edition","source":"Amazon.com","event-place":"New York","abstract":"Third Edition brings the text up to date with new material and updated references.New content includes an introduction to left and interval censored data; the log-logistic distribution; estimation procedures for left and interval censored data; parametric methods iwth covariates; Cox's proportional hazards model (including stratification and time-dependent covariates); and multiple responses to the logistic regression model.Coverage of graphical methods has been deleted.Large data sets are provided on an FTP site for readers' convenience.Bibliographic remarks conclude each chapter.","ISBN":"9780471369974","language":"English","author":[{"family":"Lee","given":"Elisa T."}],"issued":{"date-parts":[["2003",4,17]]}}}],"schema":"https://github.com/citation-style-language/schema/raw/master/csl-citation.json"} </w:instrText>
      </w:r>
      <w:r w:rsidR="000F606D">
        <w:fldChar w:fldCharType="separate"/>
      </w:r>
      <w:r w:rsidR="000F606D" w:rsidRPr="000F606D">
        <w:t>[7]</w:t>
      </w:r>
      <w:r w:rsidR="000F606D">
        <w:fldChar w:fldCharType="end"/>
      </w:r>
      <w:r>
        <w:t>.</w:t>
      </w:r>
      <w:r w:rsidR="000F606D">
        <w:t xml:space="preserve"> </w:t>
      </w:r>
      <w:r w:rsidR="003439A8">
        <w:t>While a</w:t>
      </w:r>
      <w:r w:rsidR="000F606D">
        <w:t xml:space="preserve"> variety of algorithms are available for estimation of the survival and related hazard functions in the presence of covariates. </w:t>
      </w:r>
      <w:r w:rsidR="000B43A4">
        <w:t xml:space="preserve"> </w:t>
      </w:r>
      <w:r w:rsidR="000F606D">
        <w:t xml:space="preserve">However most of these methods </w:t>
      </w:r>
      <w:r w:rsidR="000F606D" w:rsidRPr="000F606D">
        <w:t>rely on restrictive assumption</w:t>
      </w:r>
      <w:r w:rsidR="000F606D">
        <w:t>s such as proportional hazards, and are typically parametric in nature</w:t>
      </w:r>
      <w:r w:rsidR="003439A8">
        <w:t>,</w:t>
      </w:r>
      <w:r w:rsidR="000F606D">
        <w:t xml:space="preserve"> requiring assumption of first, second, and third moments of the generating functions associated with the underlying selected parametric density family.  </w:t>
      </w:r>
      <w:r w:rsidR="003439A8">
        <w:t xml:space="preserve">Depending on the assumed density function, </w:t>
      </w:r>
      <w:r w:rsidR="000F606D" w:rsidRPr="000F606D">
        <w:t>nonlinear effects of vari</w:t>
      </w:r>
      <w:r w:rsidR="003439A8">
        <w:t>ables must be handled through trans</w:t>
      </w:r>
      <w:r w:rsidR="000F606D" w:rsidRPr="000F606D">
        <w:t>formations or expan</w:t>
      </w:r>
      <w:r w:rsidR="00772EDA">
        <w:t>sion t</w:t>
      </w:r>
      <w:r w:rsidR="000F606D" w:rsidRPr="000F606D">
        <w:t>o include specialized basis functions.</w:t>
      </w:r>
      <w:r w:rsidR="00772EDA">
        <w:t xml:space="preserve"> When there are multiple, possibly interacting covariates present, they are difficult to identify, and typically</w:t>
      </w:r>
      <w:r w:rsidR="00772EDA" w:rsidRPr="000F606D">
        <w:t xml:space="preserve"> </w:t>
      </w:r>
      <w:r w:rsidR="00772EDA">
        <w:t xml:space="preserve">involves the researcher </w:t>
      </w:r>
      <w:r w:rsidR="00772EDA" w:rsidRPr="000F606D">
        <w:t>examining all two-way and three-way interactions</w:t>
      </w:r>
      <w:r w:rsidR="00772EDA">
        <w:t xml:space="preserve">, possibly </w:t>
      </w:r>
      <w:r w:rsidR="00772EDA" w:rsidRPr="000F606D">
        <w:t>rely</w:t>
      </w:r>
      <w:r w:rsidR="00772EDA">
        <w:t>ing</w:t>
      </w:r>
      <w:r w:rsidR="00772EDA" w:rsidRPr="000F606D">
        <w:t xml:space="preserve"> on subjective knowledge to narrow the search</w:t>
      </w:r>
      <w:r w:rsidR="00772EDA">
        <w:t>.</w:t>
      </w:r>
    </w:p>
    <w:p w:rsidR="00772EDA" w:rsidRDefault="00772EDA" w:rsidP="001C1E5A">
      <w:pPr>
        <w:pStyle w:val="Newparagraph"/>
      </w:pPr>
      <w:r>
        <w:t xml:space="preserve">Non-parametric </w:t>
      </w:r>
      <w:r w:rsidR="00651E58">
        <w:t xml:space="preserve">methods exist for the estimation of the survival function </w:t>
      </w:r>
      <w:r w:rsidR="00651E58">
        <w:fldChar w:fldCharType="begin"/>
      </w:r>
      <w:r w:rsidR="00412F2D">
        <w:instrText xml:space="preserve"> ADDIN ZOTERO_ITEM CSL_CITATION {"citationID":"k0ouq3rd9","properties":{"formattedCitation":"[8]","plainCitation":"[8]"},"citationItems":[{"id":1121,"uris":["http://zotero.org/users/1980127/items/Q8ATT984"],"uri":["http://zotero.org/users/1980127/items/Q8ATT984"],"itemData":{"id":1121,"type":"article-journal","title":"Nonparametric Survival Analysis","container-title":"Statistical Science","page":"615-623","volume":"19","issue":"4","source":"JSTOR","abstract":"Some classes of nonparametric procedures with randomly right-censored data are presented. They include procedures for analysis of variance and analysis of covariance designs with independent and dependent ordinal (continuous and discrete) data.","ISSN":"0883-4237","journalAbbreviation":"Statistical Science","author":[{"family":"Akritas","given":"Michael G."}],"issued":{"date-parts":[["2004",11,1]]},"accessed":{"date-parts":[["2015",3,12]]}}}],"schema":"https://github.com/citation-style-language/schema/raw/master/csl-citation.json"} </w:instrText>
      </w:r>
      <w:r w:rsidR="00651E58">
        <w:fldChar w:fldCharType="separate"/>
      </w:r>
      <w:r w:rsidR="00651E58" w:rsidRPr="00651E58">
        <w:t>[8]</w:t>
      </w:r>
      <w:r w:rsidR="00651E58">
        <w:fldChar w:fldCharType="end"/>
      </w:r>
      <w:r w:rsidR="00651E58">
        <w:t xml:space="preserve">, such as the </w:t>
      </w:r>
      <w:r w:rsidR="00651E58" w:rsidRPr="00651E58">
        <w:t>Kaplan–Meier estimator</w:t>
      </w:r>
      <w:r w:rsidR="00651E58">
        <w:t xml:space="preserve"> </w:t>
      </w:r>
      <w:r w:rsidR="00651E58">
        <w:fldChar w:fldCharType="begin"/>
      </w:r>
      <w:r w:rsidR="00412F2D">
        <w:instrText xml:space="preserve"> ADDIN ZOTERO_ITEM CSL_CITATION {"citationID":"2o64g76du5","properties":{"formattedCitation":"[9]","plainCitation":"[9]"},"citationItems":[{"id":1114,"uris":["http://zotero.org/users/1980127/items/9WFPDMEH"],"uri":["http://zotero.org/users/1980127/items/9WFPDMEH"],"itemData":{"id":1114,"type":"article-journal","title":"Nonparametric Estimation from Incomplete Observations","container-title":"Journal of the American Statistical Association","page":"457-481","volume":"53","issue":"282","source":"JSTOR","abstract":"In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0 ≤ t&lt;sub&gt;1&lt;/sub&gt;' ≤ t&lt;sub&gt;2&lt;/sub&gt;' ≤ </w:instrText>
      </w:r>
      <w:r w:rsidR="00412F2D">
        <w:rPr>
          <w:rFonts w:ascii="Cambria Math" w:hAnsi="Cambria Math" w:cs="Cambria Math"/>
        </w:rPr>
        <w:instrText>⋯</w:instrText>
      </w:r>
      <w:r w:rsidR="00412F2D">
        <w:instrText xml:space="preserve"> ≤ t&lt;sub&gt;N&lt;/sub&gt;'. Then &lt;tex-math&gt;$\\hat{P}(t) = \\prod_r \\lbrack(N - r)/(N - r + 1)\\rbrack$&lt;/tex-math&gt;, where r assumes those values for which t&lt;sub&gt;r&lt;/sub&gt;' ≤ t and for which t&lt;sub&gt;r&lt;/sub&gt;'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survivors.","DOI":"10.2307/2281868","ISSN":"0162-1459","journalAbbreviation":"Journal of the American Statistical Association","author":[{"family":"Kaplan","given":"E. L."},{"family":"Meier","given":"Paul"}],"issued":{"date-parts":[["1958",6,1]]},"accessed":{"date-parts":[["2015",3,12]]}}}],"schema":"https://github.com/citation-style-language/schema/raw/master/csl-citation.json"} </w:instrText>
      </w:r>
      <w:r w:rsidR="00651E58">
        <w:fldChar w:fldCharType="separate"/>
      </w:r>
      <w:r w:rsidR="00651E58" w:rsidRPr="00651E58">
        <w:t>[9]</w:t>
      </w:r>
      <w:r w:rsidR="00651E58">
        <w:fldChar w:fldCharType="end"/>
      </w:r>
      <w:r w:rsidR="00651E58">
        <w:t>. The advantage of these methods is their ease of use, but they are most suitable for controlled cohort analysis.</w:t>
      </w:r>
    </w:p>
    <w:p w:rsidR="00651E58" w:rsidRPr="0004018A" w:rsidRDefault="00640334" w:rsidP="0004018A">
      <w:pPr>
        <w:pStyle w:val="Heading3"/>
      </w:pPr>
      <w:r w:rsidRPr="0004018A">
        <w:t>Statistical Learning Technique for Survival Function Estimation</w:t>
      </w:r>
    </w:p>
    <w:p w:rsidR="0013423F" w:rsidRDefault="00F40353" w:rsidP="0013423F">
      <w:pPr>
        <w:pStyle w:val="Paragraph"/>
        <w:rPr>
          <w:rFonts w:cs="Arial"/>
          <w:b/>
          <w:bCs/>
          <w:caps/>
          <w:kern w:val="32"/>
          <w:sz w:val="28"/>
          <w:szCs w:val="28"/>
        </w:rPr>
      </w:pPr>
      <w:r>
        <w:t>Several methods within the area of statistical learning can be used for functional approximation. Cybenko’s theorem</w:t>
      </w:r>
      <w:r w:rsidR="00A6070E">
        <w:t xml:space="preserve"> </w:t>
      </w:r>
      <w:r>
        <w:fldChar w:fldCharType="begin"/>
      </w:r>
      <w:r w:rsidR="00412F2D">
        <w:instrText xml:space="preserve"> ADDIN ZOTERO_ITEM CSL_CITATION {"citationID":"1cjfo0e3fd","properties":{"formattedCitation":"[10]","plainCitation":"[10]"},"citationItems":[{"id":1119,"uris":["http://zotero.org/users/1980127/items/NKQECEGR"],"uri":["http://zotero.org/users/1980127/items/NKQECEGR"],"itemData":{"id":1119,"type":"article-journal","title":"Approximation by superpositions of a sigmoidal function","container-title":"Mathematics of Control, Signals and Systems","page":"303-314","volume":"2","issue":"4","source":"link.springer.com","abstract":"In this paper we demonstrate that finite linear combinations of compositions of a fixed, univariate function and a set of affine functionals can uniformly approximate any continuous function ofn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networks.","DOI":"10.1007/BF02551274","ISSN":"0932-4194, 1435-568X","journalAbbreviation":"Math. Control Signal Systems","language":"en","author":[{"family":"Cybenko","given":"G."}],"issued":{"date-parts":[["1989",12,1]]},"accessed":{"date-parts":[["2015",3,12]]}}}],"schema":"https://github.com/citation-style-language/schema/raw/master/csl-citation.json"} </w:instrText>
      </w:r>
      <w:r>
        <w:fldChar w:fldCharType="separate"/>
      </w:r>
      <w:r w:rsidRPr="00F40353">
        <w:t>[10]</w:t>
      </w:r>
      <w:r>
        <w:fldChar w:fldCharType="end"/>
      </w:r>
      <w:r>
        <w:t xml:space="preserve"> proves that a type of neural network</w:t>
      </w:r>
      <w:r w:rsidR="004B3869">
        <w:t xml:space="preserve"> (ANN)</w:t>
      </w:r>
      <w:r>
        <w:t xml:space="preserve"> which is equivalent to the superimposition of multiple sigmoidal functions, can be used as a near per</w:t>
      </w:r>
      <w:r w:rsidR="00A6070E">
        <w:t>fect approximator for arbitrary monotonic functions.</w:t>
      </w:r>
      <w:r w:rsidR="004B3869">
        <w:t xml:space="preserve"> Unfortunately, ANN methods do not easily take into account censoring as occurs in survival analysis. Random Forests (RF) Another well-known statistical learning method that can be thought of as universal function approximators </w:t>
      </w:r>
      <w:r w:rsidR="00AC4316">
        <w:fldChar w:fldCharType="begin"/>
      </w:r>
      <w:r w:rsidR="00412F2D">
        <w:instrText xml:space="preserve"> ADDIN ZOTERO_ITEM CSL_CITATION {"citationID":"1atbtddq7u","properties":{"formattedCitation":"[11]","plainCitation":"[11]"},"citationItems":[{"id":1111,"uris":["http://zotero.org/users/1980127/items/535ZXJWM"],"uri":["http://zotero.org/users/1980127/items/535ZXJWM"],"itemData":{"id":1111,"type":"article-journal","title":"Random Forests","container-title":"Machine Learning","page":"5-32","volume":"45","issue":"1","source":"link.springer.com","abstract":"Random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regression.","DOI":"10.1023/A:1010933404324","ISSN":"0885-6125, 1573-0565","journalAbbreviation":"Machine Learning","language":"en","author":[{"family":"Breiman","given":"Leo"}],"issued":{"date-parts":[["2001",10,1]]},"accessed":{"date-parts":[["2015",3,12]]}}}],"schema":"https://github.com/citation-style-language/schema/raw/master/csl-citation.json"} </w:instrText>
      </w:r>
      <w:r w:rsidR="00AC4316">
        <w:fldChar w:fldCharType="separate"/>
      </w:r>
      <w:r w:rsidR="00AC4316" w:rsidRPr="00AC4316">
        <w:t>[11]</w:t>
      </w:r>
      <w:r w:rsidR="00AC4316">
        <w:fldChar w:fldCharType="end"/>
      </w:r>
      <w:r w:rsidR="00AC4316">
        <w:t xml:space="preserve">. </w:t>
      </w:r>
      <w:r w:rsidR="00983D3E">
        <w:t xml:space="preserve">RF is a subset of a more general class of </w:t>
      </w:r>
      <w:r w:rsidR="00844B7B">
        <w:t>ensemble learning</w:t>
      </w:r>
      <w:r w:rsidR="00844B7B">
        <w:rPr>
          <w:rStyle w:val="FootnoteReference"/>
          <w:lang w:val="en-GB"/>
        </w:rPr>
        <w:footnoteReference w:id="2"/>
      </w:r>
      <w:r w:rsidR="00983D3E">
        <w:t xml:space="preserve"> based techniques that iterate over combinations of base or weak learners with the resulting learner (the ensemble of the iterated base learners) havin</w:t>
      </w:r>
      <w:r w:rsidR="0053546E">
        <w:t>g greater predictive power</w:t>
      </w:r>
      <w:r w:rsidR="007D736D">
        <w:t xml:space="preserve"> </w:t>
      </w:r>
      <w:r w:rsidR="0053546E">
        <w:t>.</w:t>
      </w:r>
      <w:r w:rsidR="0088718A">
        <w:t xml:space="preserve"> While RF is generally used for regression a</w:t>
      </w:r>
      <w:r w:rsidR="00F733F5">
        <w:t xml:space="preserve">nd classification, Ishwaran et </w:t>
      </w:r>
      <w:r w:rsidR="0088718A">
        <w:t xml:space="preserve">al. </w:t>
      </w:r>
      <w:r w:rsidR="0088718A">
        <w:fldChar w:fldCharType="begin"/>
      </w:r>
      <w:r w:rsidR="00412F2D">
        <w:instrText xml:space="preserve"> ADDIN ZOTERO_ITEM CSL_CITATION {"citationID":"2inderbc79","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rsidR="0088718A">
        <w:fldChar w:fldCharType="separate"/>
      </w:r>
      <w:r w:rsidR="0088718A" w:rsidRPr="00983D3E">
        <w:t>[12]</w:t>
      </w:r>
      <w:r w:rsidR="0088718A">
        <w:fldChar w:fldCharType="end"/>
      </w:r>
      <w:r w:rsidR="0088718A">
        <w:t xml:space="preserve"> have extended the technique specifically for use in survival analysis and is known as Random Survival Forests (RSF). In RFS</w:t>
      </w:r>
      <w:r w:rsidR="0088718A" w:rsidRPr="0088718A">
        <w:t xml:space="preserve">, the splitting criterion used in growing a tree explicitly </w:t>
      </w:r>
      <w:r w:rsidR="0088718A">
        <w:t>invokes</w:t>
      </w:r>
      <w:r w:rsidR="0088718A" w:rsidRPr="0088718A">
        <w:t xml:space="preserve"> survival time and censoring information. </w:t>
      </w:r>
      <w:r w:rsidR="0088718A">
        <w:t xml:space="preserve">The </w:t>
      </w:r>
      <w:r w:rsidR="0088718A" w:rsidRPr="0088718A">
        <w:t xml:space="preserve">effectiveness of a </w:t>
      </w:r>
      <w:r w:rsidR="0088718A">
        <w:t>particular split is measured via the difference in survival expectation for inclusion in each of the new nodes</w:t>
      </w:r>
      <w:r w:rsidR="00FF7E0C">
        <w:t xml:space="preserve"> below the split.</w:t>
      </w:r>
    </w:p>
    <w:p w:rsidR="00FF7E0C" w:rsidRPr="00FF7E0C" w:rsidRDefault="006A2174" w:rsidP="0013423F">
      <w:pPr>
        <w:pStyle w:val="Heading1"/>
      </w:pPr>
      <w:r>
        <w:t>Model development</w:t>
      </w:r>
      <w:r w:rsidR="00593108">
        <w:t>, TRAining and testing</w:t>
      </w:r>
    </w:p>
    <w:p w:rsidR="00593108" w:rsidRDefault="006A2174" w:rsidP="001C1E5A">
      <w:pPr>
        <w:pStyle w:val="Newparagraph"/>
      </w:pPr>
      <w:r>
        <w:t xml:space="preserve">A Random Survival Forest (RSF) was developed using the techniques outlined by Ishwaran et al. </w:t>
      </w:r>
      <w:r>
        <w:fldChar w:fldCharType="begin"/>
      </w:r>
      <w:r w:rsidR="00412F2D">
        <w:instrText xml:space="preserve"> ADDIN ZOTERO_ITEM CSL_CITATION {"citationID":"MomvmNHy","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fldChar w:fldCharType="separate"/>
      </w:r>
      <w:r w:rsidRPr="00983D3E">
        <w:t>[12]</w:t>
      </w:r>
      <w:r>
        <w:fldChar w:fldCharType="end"/>
      </w:r>
      <w:r>
        <w:t xml:space="preserve">. </w:t>
      </w:r>
      <w:r w:rsidR="00BA5AAA">
        <w:t xml:space="preserve">The initial data was split into training and test sets of 7,095 and 2,366 respectively. The parameters that can be controlled when using the particular implementation of RSF </w:t>
      </w:r>
      <w:r w:rsidR="00BA5AAA">
        <w:fldChar w:fldCharType="begin"/>
      </w:r>
      <w:r w:rsidR="00412F2D">
        <w:instrText xml:space="preserve"> ADDIN ZOTERO_ITEM CSL_CITATION {"citationID":"250skk8uke","properties":{"formattedCitation":"[13]","plainCitation":"[13]"},"citationItems":[{"id":838,"uris":["http://zotero.org/users/1980127/items/MNMBPVQH"],"uri":["http://zotero.org/users/1980127/items/MNMBPVQH"],"itemData":{"id":838,"type":"article-journal","title":"Evaluating Random Forests for Survival Analysis Using Prediction Error Curves","container-title":"http://www.jstatsoft.org/v50/i11/paper","author":[{"family":"Mogensen","given":"Ulla B."},{"family":"Ishwaran","given":"Hemant"},{"family":"Gerds","given":"Thomas A."}],"issued":{"date-parts":[["2012",9,18]]}}}],"schema":"https://github.com/citation-style-language/schema/raw/master/csl-citation.json"} </w:instrText>
      </w:r>
      <w:r w:rsidR="00BA5AAA">
        <w:fldChar w:fldCharType="separate"/>
      </w:r>
      <w:r w:rsidR="00BA5AAA" w:rsidRPr="00BA5AAA">
        <w:t>[13]</w:t>
      </w:r>
      <w:r w:rsidR="00BA5AAA">
        <w:fldChar w:fldCharType="end"/>
      </w:r>
      <w:r w:rsidR="00593108">
        <w:t xml:space="preserve"> include; number of trees constructed (ntree), number of candidate features to try at each split (ntry), minimum number of cases in a terminal node (nodesize), the maximum depth of any </w:t>
      </w:r>
      <w:r w:rsidR="00593108">
        <w:lastRenderedPageBreak/>
        <w:t>tree (nodedepth), and the splitting rule (splitrule).</w:t>
      </w:r>
    </w:p>
    <w:p w:rsidR="001746AE" w:rsidRPr="001746AE" w:rsidRDefault="001D6002" w:rsidP="0004018A">
      <w:pPr>
        <w:pStyle w:val="Heading2"/>
      </w:pPr>
      <w:r>
        <w:t xml:space="preserve">Targeted Outcome / </w:t>
      </w:r>
      <w:r w:rsidR="001746AE" w:rsidRPr="001746AE">
        <w:t xml:space="preserve">Application </w:t>
      </w:r>
      <w:r w:rsidR="001746AE">
        <w:t>of Predictions</w:t>
      </w:r>
    </w:p>
    <w:p w:rsidR="00E15DB9" w:rsidRPr="00E15DB9" w:rsidRDefault="007B1BC4" w:rsidP="001C1E5A">
      <w:pPr>
        <w:pStyle w:val="Paragraph"/>
      </w:pPr>
      <w:r>
        <w:t>It is important to understand how the resulting prediction</w:t>
      </w:r>
      <w:r w:rsidR="001746AE">
        <w:t>s obtained from a model</w:t>
      </w:r>
      <w:r>
        <w:t xml:space="preserve"> will be used</w:t>
      </w:r>
      <w:r w:rsidR="001746AE">
        <w:t xml:space="preserve"> in practice</w:t>
      </w:r>
      <w:r>
        <w:t>.</w:t>
      </w:r>
      <w:r w:rsidRPr="007B1BC4">
        <w:t xml:space="preserve"> </w:t>
      </w:r>
      <w:r>
        <w:t>Much of the literature describes models where the purpose is to predict the likelihood that a particular patient will be readmitted within 30 days of hospital discharge. In isolation, this is not of muc</w:t>
      </w:r>
      <w:r w:rsidR="003E6F40">
        <w:t xml:space="preserve">h practical use. </w:t>
      </w:r>
      <w:r w:rsidR="00E12113">
        <w:t>In may be possible to use 30 day readmission predictions to support efforts to reduce the rate of such readmissions. S</w:t>
      </w:r>
      <w:r w:rsidR="003E6F40">
        <w:t xml:space="preserve">ome recent studies have provided indications that improved post discharge care management results in reduced 30 day readmission rates </w:t>
      </w:r>
      <w:r w:rsidR="003E6F40">
        <w:fldChar w:fldCharType="begin"/>
      </w:r>
      <w:r w:rsidR="00412F2D">
        <w:instrText xml:space="preserve"> ADDIN ZOTERO_ITEM CSL_CITATION {"citationID":"1dso8rd924","properties":{"formattedCitation":"[14]","plainCitation":"[14]"},"citationItems":[{"id":1052,"uris":["http://zotero.org/users/1980127/items/Z98CC5X3"],"uri":["http://zotero.org/users/1980127/items/Z98CC5X3"],"itemData":{"id":1052,"type":"article-journal","title":"Relationship between early physician follow-up and 30-day readmission among medicare beneficiaries hospitalized for heart failure","container-title":"JAMA","page":"1716-1722","volume":"303","issue":"17","DOI":"10.1001/jama.2010.533","author":[{"family":"A. F. Hernandez","given":""},{"family":"M.A. Greiner","given":""},{"family":"G.C. Fonarow","given":""},{"family":"B. G. Hammill","given":""},{"family":"P. A. Heidenreich","given":""},{"family":"C. W. Yancy","given":""},{"family":"E. D. Peterson","given":""},{"family":"L. H. Curtis","given":""}],"issued":{"date-parts":[["2010"]]}}}],"schema":"https://github.com/citation-style-language/schema/raw/master/csl-citation.json"} </w:instrText>
      </w:r>
      <w:r w:rsidR="003E6F40">
        <w:fldChar w:fldCharType="separate"/>
      </w:r>
      <w:r w:rsidR="00BA5AAA" w:rsidRPr="00BA5AAA">
        <w:t>[14]</w:t>
      </w:r>
      <w:r w:rsidR="003E6F40">
        <w:fldChar w:fldCharType="end"/>
      </w:r>
      <w:r w:rsidR="00E12113">
        <w:t>, while others have found no measurable improvement in readmission rates</w:t>
      </w:r>
      <w:r w:rsidR="00A87142">
        <w:t xml:space="preserve"> </w:t>
      </w:r>
      <w:r w:rsidR="007C26F0">
        <w:fldChar w:fldCharType="begin"/>
      </w:r>
      <w:r w:rsidR="00412F2D">
        <w:instrText xml:space="preserve"> ADDIN ZOTERO_ITEM CSL_CITATION {"citationID":"40oudl321","properties":{"formattedCitation":"[15]","plainCitation":"[15]"},"citationItems":[{"id":1054,"uris":["http://zotero.org/users/1980127/items/6D6C9R8Q"],"uri":["http://zotero.org/users/1980127/items/6D6C9R8Q"],"itemData":{"id":1054,"type":"article-journal","title":"Effects of care coordination on hospitalization, quality of care, and health care expenditures among medicare beneficiaries: 15 randomized trials","container-title":"JAMA","page":"603-618","volume":"301","issue":"6","DOI":"10.1001/jama.2009.126","author":[{"family":"D. Peikes","given":""},{"family":"A. Chen","given":""},{"family":"J. Schore","given":""},{"family":"R. Brown","given":""}],"issued":{"date-parts":[["2009"]]}}}],"schema":"https://github.com/citation-style-language/schema/raw/master/csl-citation.json"} </w:instrText>
      </w:r>
      <w:r w:rsidR="007C26F0">
        <w:fldChar w:fldCharType="separate"/>
      </w:r>
      <w:r w:rsidR="00BA5AAA" w:rsidRPr="00BA5AAA">
        <w:t>[15]</w:t>
      </w:r>
      <w:r w:rsidR="007C26F0">
        <w:fldChar w:fldCharType="end"/>
      </w:r>
      <w:r w:rsidR="007C26F0">
        <w:t xml:space="preserve">. Some of the most recent work in this area indicates that under some circumstances, surgical procedures in this case, readmission rates are not tied to the quality or level of post-discharge care coordination </w:t>
      </w:r>
      <w:r w:rsidR="007C26F0">
        <w:fldChar w:fldCharType="begin"/>
      </w:r>
      <w:r w:rsidR="00412F2D">
        <w:instrText xml:space="preserve"> ADDIN ZOTERO_ITEM CSL_CITATION {"citationID":"1otd7j5ike","properties":{"formattedCitation":"[16]","plainCitation":"[16]"},"citationItems":[{"id":1109,"uris":["http://zotero.org/users/1980127/items/DVEXA5SI"],"uri":["http://zotero.org/users/1980127/items/DVEXA5SI"],"itemData":{"id":1109,"type":"article-journal","title":"Underlying reasons associated with hospital readmission following surgery in the united states","container-title":"JAMA","page":"483-495","volume":"313","issue":"5","DOI":"10.1001/jama.2014.18614","author":[{"family":"R. P. Merkow","given":""},{"family":"M. H. Ju","given":""},{"family":"J. W. Chung","given":""},{"family":"et. al.","given":""}],"issued":{"date-parts":[["2015"]]}}}],"schema":"https://github.com/citation-style-language/schema/raw/master/csl-citation.json"} </w:instrText>
      </w:r>
      <w:r w:rsidR="007C26F0">
        <w:fldChar w:fldCharType="separate"/>
      </w:r>
      <w:r w:rsidR="00BA5AAA" w:rsidRPr="00BA5AAA">
        <w:t>[16]</w:t>
      </w:r>
      <w:r w:rsidR="007C26F0">
        <w:fldChar w:fldCharType="end"/>
      </w:r>
      <w:r w:rsidR="00E15DB9">
        <w:t xml:space="preserve">. This range of findings linking post-discharge care coordination and readmission likely may point to one important issue, effective care coordination requires prioritization. Caseloads for care coordinators are likely to be quite large, and it is understood that the first few days post-discharge are the most critical </w:t>
      </w:r>
      <w:r w:rsidR="00E15DB9">
        <w:fldChar w:fldCharType="begin"/>
      </w:r>
      <w:r w:rsidR="00412F2D">
        <w:instrText xml:space="preserve"> ADDIN ZOTERO_ITEM CSL_CITATION {"citationID":"almad99tf","properties":{"formattedCitation":"[17]","plainCitation":"[17]"},"citationItems":[{"id":1048,"uris":["http://zotero.org/users/1980127/items/VVU8KGRA"],"uri":["http://zotero.org/users/1980127/items/VVU8KGRA"],"itemData":{"id":1048,"type":"article-journal","title":"Promoting effective transitions of care at hospital discharge: A review of key issues for hospitalists","container-title":"Journal of Hospital Medicine","page":"314-323","volume":"2","issue":"5","source":"Wiley Online Library","abstract":"The period following discharge from the hospital is a vulnerable time for patients. About half of adults experience a medical error after hospital discharge, and 19%–23% suffer an adverse event, most commonly an adverse drug event. This article reviews several important challenges to providing high-quality care as patients leave the hospital. These include the discontinuity between hospitalists and primary care physicians, changes to the medication regimen, new self-care responsibilities that may stress available resources, and complex discharge instructions. We also discuss approaches to promoting more effective transitions of care, including improvements in communication between inpatient and outpatient physicians, effective reconciliation of prescribed medication regimens, adequate education of patients about medication use, closer medical follow-up, engagement with social support systems, and greater clarity in physician–patient communication. By understanding the key challenges and adopting strategies to improve patient care in the transition from hospital to home, hospitalists could significantly reduce medical errors in the postdischarge period. Journal of Hospital Medicine 2007;2:314–323. © 2007 Society of Hospital Medicine.","DOI":"10.1002/jhm.228","ISSN":"1553-5606","shortTitle":"Promoting effective transitions of care at hospital discharge","journalAbbreviation":"J. Hosp. Med.","language":"en","author":[{"family":"Kripalani","given":"Sunil"},{"family":"Jackson","given":"Amy T."},{"family":"Schnipper","given":"Jeffrey L."},{"family":"Coleman","given":"Eric A."}],"issued":{"date-parts":[["2007",9,1]]},"accessed":{"date-parts":[["2015",3,2]]}}}],"schema":"https://github.com/citation-style-language/schema/raw/master/csl-citation.json"} </w:instrText>
      </w:r>
      <w:r w:rsidR="00E15DB9">
        <w:fldChar w:fldCharType="separate"/>
      </w:r>
      <w:r w:rsidR="00BA5AAA" w:rsidRPr="00BA5AAA">
        <w:t>[17]</w:t>
      </w:r>
      <w:r w:rsidR="00E15DB9">
        <w:fldChar w:fldCharType="end"/>
      </w:r>
      <w:r w:rsidR="00E15DB9">
        <w:t>. In this setting, a tool that assists the care coordinator in prioritizing their cases will allow them to more effectively target their resources for best effect.</w:t>
      </w:r>
    </w:p>
    <w:p w:rsidR="00B253D3" w:rsidRDefault="001746AE" w:rsidP="001C1E5A">
      <w:pPr>
        <w:pStyle w:val="Newparagraph"/>
      </w:pPr>
      <w:r>
        <w:t xml:space="preserve">The application </w:t>
      </w:r>
      <w:r w:rsidR="002A59D9">
        <w:t xml:space="preserve">through which the predictions will be delivered is dubbed </w:t>
      </w:r>
      <w:r w:rsidR="002A59D9">
        <w:rPr>
          <w:i/>
        </w:rPr>
        <w:t xml:space="preserve">Relative Readmission Risk Monitor </w:t>
      </w:r>
      <w:r w:rsidR="002A59D9">
        <w:t>or R</w:t>
      </w:r>
      <w:r w:rsidR="002A59D9">
        <w:rPr>
          <w:vertAlign w:val="superscript"/>
        </w:rPr>
        <w:t>3</w:t>
      </w:r>
      <w:r w:rsidR="003F6FDA">
        <w:t xml:space="preserve">M (R3M) for short, and is designed to assist care coordinators in prioritizing their caseload when dealing with recently discharged patients. </w:t>
      </w:r>
      <w:r w:rsidR="00331C86">
        <w:t>The use case</w:t>
      </w:r>
      <w:r w:rsidR="002A59D9">
        <w:t xml:space="preserve"> is fairly straightforward; a patient care coordinator, responsible for a subset of all the ACO patients within the UVA ACO population is provided a ranked list of patients who have been discharged over the previous 30 days. The order of ranking is on relative risk of readmiss</w:t>
      </w:r>
      <w:r w:rsidR="00B253D3">
        <w:t xml:space="preserve">ion within 30 days of discharge which is calculated by integrating over the predicted hazard function </w:t>
      </w:r>
      <w:r w:rsidR="00B253D3" w:rsidRPr="00B253D3">
        <w:rPr>
          <w:position w:val="-6"/>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6.5pt" o:ole="">
            <v:imagedata r:id="rId8" o:title=""/>
          </v:shape>
          <o:OLEObject Type="Embed" ProgID="Equation.DSMT4" ShapeID="_x0000_i1027" DrawAspect="Content" ObjectID="_1508142896" r:id="rId9"/>
        </w:object>
      </w:r>
      <w:r w:rsidR="00B253D3">
        <w:t xml:space="preserve"> from the current offset from discharge (i.e. the number of days since discharge for a particular patient) through 30 days. This value, termed </w:t>
      </w:r>
      <w:r w:rsidR="00B253D3">
        <w:rPr>
          <w:i/>
        </w:rPr>
        <w:t>cumulative remaining risk</w:t>
      </w:r>
      <w:r w:rsidR="00B253D3">
        <w:t xml:space="preserve"> or CRR can be expressed as:</w:t>
      </w:r>
    </w:p>
    <w:p w:rsidR="00B253D3" w:rsidRDefault="00A33A02" w:rsidP="00A33A02">
      <w:pPr>
        <w:pStyle w:val="Displayedequation"/>
      </w:pPr>
      <w:r>
        <w:tab/>
      </w:r>
      <w:r w:rsidR="00F3531E" w:rsidRPr="00AA3037">
        <w:rPr>
          <w:position w:val="-18"/>
        </w:rPr>
        <w:object w:dxaOrig="1460" w:dyaOrig="520">
          <v:shape id="_x0000_i1028" type="#_x0000_t75" style="width:72.75pt;height:26.25pt" o:ole="">
            <v:imagedata r:id="rId10" o:title=""/>
          </v:shape>
          <o:OLEObject Type="Embed" ProgID="Equation.DSMT4" ShapeID="_x0000_i1028" DrawAspect="Content" ObjectID="_1508142897" r:id="rId11"/>
        </w:object>
      </w:r>
      <w:r w:rsidR="00D06D58">
        <w:t>,</w:t>
      </w:r>
      <w:r w:rsidR="00B253D3">
        <w:tab/>
      </w:r>
      <w:r w:rsidR="001C1E5A">
        <w:tab/>
      </w:r>
      <w:r w:rsidR="00B253D3">
        <w:fldChar w:fldCharType="begin"/>
      </w:r>
      <w:r w:rsidR="00B253D3">
        <w:instrText xml:space="preserve"> MACROBUTTON MTPlaceRef \* MERGEFORMAT </w:instrText>
      </w:r>
      <w:r w:rsidR="00B253D3">
        <w:fldChar w:fldCharType="begin"/>
      </w:r>
      <w:r w:rsidR="00B253D3">
        <w:instrText xml:space="preserve"> SEQ MTEqn \h \* MERGEFORMAT </w:instrText>
      </w:r>
      <w:r w:rsidR="00B253D3">
        <w:fldChar w:fldCharType="end"/>
      </w:r>
      <w:r w:rsidR="00B253D3">
        <w:instrText>(</w:instrText>
      </w:r>
      <w:fldSimple w:instr=" SEQ MTSec \c \* Arabic \* MERGEFORMAT ">
        <w:r w:rsidR="004D412C">
          <w:rPr>
            <w:noProof/>
          </w:rPr>
          <w:instrText>1</w:instrText>
        </w:r>
      </w:fldSimple>
      <w:r w:rsidR="00B253D3">
        <w:instrText>.</w:instrText>
      </w:r>
      <w:fldSimple w:instr=" SEQ MTEqn \c \* Arabic \* MERGEFORMAT ">
        <w:r w:rsidR="004D412C">
          <w:rPr>
            <w:noProof/>
          </w:rPr>
          <w:instrText>1</w:instrText>
        </w:r>
      </w:fldSimple>
      <w:r w:rsidR="00B253D3">
        <w:instrText>)</w:instrText>
      </w:r>
      <w:r w:rsidR="00B253D3">
        <w:fldChar w:fldCharType="end"/>
      </w:r>
    </w:p>
    <w:p w:rsidR="00AA3037" w:rsidRDefault="00AA3037" w:rsidP="00A33A02">
      <w:pPr>
        <w:pStyle w:val="Displayedequation"/>
      </w:pPr>
      <w:r>
        <w:t>where</w:t>
      </w:r>
    </w:p>
    <w:p w:rsidR="00AA3037" w:rsidRDefault="00A33A02" w:rsidP="00A33A02">
      <w:pPr>
        <w:pStyle w:val="Displayedequation"/>
      </w:pPr>
      <w:r>
        <w:tab/>
      </w:r>
      <w:r w:rsidR="00AA3037" w:rsidRPr="00AA3037">
        <w:rPr>
          <w:position w:val="-18"/>
        </w:rPr>
        <w:object w:dxaOrig="1620" w:dyaOrig="520">
          <v:shape id="_x0000_i1029" type="#_x0000_t75" style="width:81pt;height:25.5pt" o:ole="">
            <v:imagedata r:id="rId12" o:title=""/>
          </v:shape>
          <o:OLEObject Type="Embed" ProgID="Equation.DSMT4" ShapeID="_x0000_i1029" DrawAspect="Content" ObjectID="_1508142898" r:id="rId13"/>
        </w:object>
      </w:r>
      <w:r w:rsidR="00D06D58">
        <w:t>,</w:t>
      </w:r>
      <w:r w:rsidR="00AA3037">
        <w:tab/>
      </w:r>
      <w:r w:rsidR="001C1E5A">
        <w:tab/>
      </w:r>
      <w:r w:rsidR="00AA3037">
        <w:fldChar w:fldCharType="begin"/>
      </w:r>
      <w:r w:rsidR="00AA3037">
        <w:instrText xml:space="preserve"> MACROBUTTON MTPlaceRef \* MERGEFORMAT </w:instrText>
      </w:r>
      <w:r w:rsidR="00AA3037">
        <w:fldChar w:fldCharType="begin"/>
      </w:r>
      <w:r w:rsidR="00AA3037">
        <w:instrText xml:space="preserve"> SEQ MTEqn \h \* MERGEFORMAT </w:instrText>
      </w:r>
      <w:r w:rsidR="00AA3037">
        <w:fldChar w:fldCharType="end"/>
      </w:r>
      <w:r w:rsidR="00AA3037">
        <w:instrText>(</w:instrText>
      </w:r>
      <w:r w:rsidR="0004359F">
        <w:fldChar w:fldCharType="begin"/>
      </w:r>
      <w:r w:rsidR="0004359F">
        <w:instrText xml:space="preserve"> SEQ MTSec \c \* Arabic \* MERGEFORMAT </w:instrText>
      </w:r>
      <w:r w:rsidR="0004359F">
        <w:fldChar w:fldCharType="separate"/>
      </w:r>
      <w:r w:rsidR="004D412C">
        <w:rPr>
          <w:noProof/>
        </w:rPr>
        <w:instrText>1</w:instrText>
      </w:r>
      <w:r w:rsidR="0004359F">
        <w:rPr>
          <w:noProof/>
        </w:rPr>
        <w:fldChar w:fldCharType="end"/>
      </w:r>
      <w:r w:rsidR="00AA3037">
        <w:instrText>.</w:instrText>
      </w:r>
      <w:r w:rsidR="0004359F">
        <w:fldChar w:fldCharType="begin"/>
      </w:r>
      <w:r w:rsidR="0004359F">
        <w:instrText xml:space="preserve"> SEQ MTEqn \c \* Arabic \* MERGEFORMAT </w:instrText>
      </w:r>
      <w:r w:rsidR="0004359F">
        <w:fldChar w:fldCharType="separate"/>
      </w:r>
      <w:r w:rsidR="004D412C">
        <w:rPr>
          <w:noProof/>
        </w:rPr>
        <w:instrText>2</w:instrText>
      </w:r>
      <w:r w:rsidR="0004359F">
        <w:rPr>
          <w:noProof/>
        </w:rPr>
        <w:fldChar w:fldCharType="end"/>
      </w:r>
      <w:r w:rsidR="00AA3037">
        <w:instrText>)</w:instrText>
      </w:r>
      <w:r w:rsidR="00AA3037">
        <w:fldChar w:fldCharType="end"/>
      </w:r>
    </w:p>
    <w:p w:rsidR="00AA3037" w:rsidRDefault="00AA3037" w:rsidP="00A33A02">
      <w:pPr>
        <w:pStyle w:val="Displayedequation"/>
      </w:pPr>
      <w:r>
        <w:t>and</w:t>
      </w:r>
    </w:p>
    <w:p w:rsidR="00AA3037" w:rsidRDefault="00A33A02" w:rsidP="00A33A02">
      <w:pPr>
        <w:pStyle w:val="Displayedequation"/>
      </w:pPr>
      <w:r>
        <w:tab/>
      </w:r>
      <w:r w:rsidR="00AA3037" w:rsidRPr="00AA3037">
        <w:rPr>
          <w:position w:val="-10"/>
        </w:rPr>
        <w:object w:dxaOrig="1660" w:dyaOrig="320">
          <v:shape id="_x0000_i1030" type="#_x0000_t75" style="width:82.5pt;height:16.5pt" o:ole="">
            <v:imagedata r:id="rId14" o:title=""/>
          </v:shape>
          <o:OLEObject Type="Embed" ProgID="Equation.DSMT4" ShapeID="_x0000_i1030" DrawAspect="Content" ObjectID="_1508142899" r:id="rId15"/>
        </w:object>
      </w:r>
      <w:r w:rsidR="00D06D58">
        <w:t>,</w:t>
      </w:r>
      <w:r w:rsidR="00AA3037">
        <w:tab/>
      </w:r>
      <w:r w:rsidR="001C1E5A">
        <w:tab/>
      </w:r>
      <w:r w:rsidR="00AA3037">
        <w:fldChar w:fldCharType="begin"/>
      </w:r>
      <w:r w:rsidR="00AA3037">
        <w:instrText xml:space="preserve"> MACROBUTTON MTPlaceRef \* MERGEFORMAT </w:instrText>
      </w:r>
      <w:r w:rsidR="00AA3037">
        <w:fldChar w:fldCharType="begin"/>
      </w:r>
      <w:r w:rsidR="00AA3037">
        <w:instrText xml:space="preserve"> SEQ MTEqn \h \* MERGEFORMAT </w:instrText>
      </w:r>
      <w:r w:rsidR="00AA3037">
        <w:fldChar w:fldCharType="end"/>
      </w:r>
      <w:r w:rsidR="00AA3037">
        <w:instrText>(</w:instrText>
      </w:r>
      <w:r w:rsidR="0004359F">
        <w:fldChar w:fldCharType="begin"/>
      </w:r>
      <w:r w:rsidR="0004359F">
        <w:instrText xml:space="preserve"> SEQ MTSec \c \* Arabic \* MERGEFORMAT </w:instrText>
      </w:r>
      <w:r w:rsidR="0004359F">
        <w:fldChar w:fldCharType="separate"/>
      </w:r>
      <w:r w:rsidR="004D412C">
        <w:rPr>
          <w:noProof/>
        </w:rPr>
        <w:instrText>1</w:instrText>
      </w:r>
      <w:r w:rsidR="0004359F">
        <w:rPr>
          <w:noProof/>
        </w:rPr>
        <w:fldChar w:fldCharType="end"/>
      </w:r>
      <w:r w:rsidR="00AA3037">
        <w:instrText>.</w:instrText>
      </w:r>
      <w:r w:rsidR="0004359F">
        <w:fldChar w:fldCharType="begin"/>
      </w:r>
      <w:r w:rsidR="0004359F">
        <w:instrText xml:space="preserve"> SEQ MTEqn \c \* Arabic \* MERGEFORMAT </w:instrText>
      </w:r>
      <w:r w:rsidR="0004359F">
        <w:fldChar w:fldCharType="separate"/>
      </w:r>
      <w:r w:rsidR="004D412C">
        <w:rPr>
          <w:noProof/>
        </w:rPr>
        <w:instrText>3</w:instrText>
      </w:r>
      <w:r w:rsidR="0004359F">
        <w:rPr>
          <w:noProof/>
        </w:rPr>
        <w:fldChar w:fldCharType="end"/>
      </w:r>
      <w:r w:rsidR="00AA3037">
        <w:instrText>)</w:instrText>
      </w:r>
      <w:r w:rsidR="00AA3037">
        <w:fldChar w:fldCharType="end"/>
      </w:r>
    </w:p>
    <w:p w:rsidR="001C1E5A" w:rsidRDefault="001C1E5A" w:rsidP="001C1E5A">
      <w:pPr>
        <w:pStyle w:val="Newparagraph"/>
      </w:pPr>
    </w:p>
    <w:p w:rsidR="00AA3037" w:rsidRDefault="00B253D3" w:rsidP="001C1E5A">
      <w:pPr>
        <w:pStyle w:val="Newparagraph"/>
      </w:pPr>
      <w:r>
        <w:t xml:space="preserve">Where </w:t>
      </w:r>
      <w:r w:rsidR="00940797" w:rsidRPr="00940797">
        <w:rPr>
          <w:position w:val="-14"/>
        </w:rPr>
        <w:object w:dxaOrig="660" w:dyaOrig="380">
          <v:shape id="_x0000_i1031" type="#_x0000_t75" style="width:33pt;height:19.5pt" o:ole="">
            <v:imagedata r:id="rId16" o:title=""/>
          </v:shape>
          <o:OLEObject Type="Embed" ProgID="Equation.DSMT4" ShapeID="_x0000_i1031" DrawAspect="Content" ObjectID="_1508142900" r:id="rId17"/>
        </w:object>
      </w:r>
      <w:r>
        <w:t xml:space="preserve"> </w:t>
      </w:r>
      <w:r w:rsidR="00940797">
        <w:t xml:space="preserve">is the remaining risk for patient </w:t>
      </w:r>
      <w:r w:rsidR="00200792" w:rsidRPr="00200792">
        <w:rPr>
          <w:position w:val="-10"/>
        </w:rPr>
        <w:object w:dxaOrig="200" w:dyaOrig="300">
          <v:shape id="_x0000_i1032" type="#_x0000_t75" style="width:10.5pt;height:15pt" o:ole="">
            <v:imagedata r:id="rId18" o:title=""/>
          </v:shape>
          <o:OLEObject Type="Embed" ProgID="Equation.DSMT4" ShapeID="_x0000_i1032" DrawAspect="Content" ObjectID="_1508142901" r:id="rId19"/>
        </w:object>
      </w:r>
      <w:r w:rsidR="00940797">
        <w:t xml:space="preserve"> at </w:t>
      </w:r>
      <w:r w:rsidR="00CF2D05">
        <w:t>time</w:t>
      </w:r>
      <w:r w:rsidR="00940797" w:rsidRPr="00940797">
        <w:rPr>
          <w:position w:val="-6"/>
        </w:rPr>
        <w:object w:dxaOrig="220" w:dyaOrig="320">
          <v:shape id="_x0000_i1033" type="#_x0000_t75" style="width:10.5pt;height:16.5pt" o:ole="">
            <v:imagedata r:id="rId20" o:title=""/>
          </v:shape>
          <o:OLEObject Type="Embed" ProgID="Equation.DSMT4" ShapeID="_x0000_i1033" DrawAspect="Content" ObjectID="_1508142902" r:id="rId21"/>
        </w:object>
      </w:r>
      <w:r w:rsidR="00CF2D05">
        <w:t>with</w:t>
      </w:r>
      <w:r w:rsidR="00940797">
        <w:t xml:space="preserve"> </w:t>
      </w:r>
      <w:r w:rsidR="00CF2D05">
        <w:t xml:space="preserve">the estimates for </w:t>
      </w:r>
      <w:r w:rsidR="00200792" w:rsidRPr="00B253D3">
        <w:rPr>
          <w:position w:val="-6"/>
        </w:rPr>
        <w:object w:dxaOrig="200" w:dyaOrig="340">
          <v:shape id="_x0000_i1034" type="#_x0000_t75" style="width:10.5pt;height:16.5pt" o:ole="">
            <v:imagedata r:id="rId22" o:title=""/>
          </v:shape>
          <o:OLEObject Type="Embed" ProgID="Equation.DSMT4" ShapeID="_x0000_i1034" DrawAspect="Content" ObjectID="_1508142903" r:id="rId23"/>
        </w:object>
      </w:r>
      <w:r w:rsidR="00CF2D05">
        <w:t xml:space="preserve"> having </w:t>
      </w:r>
      <w:r w:rsidR="00CF2D05">
        <w:lastRenderedPageBreak/>
        <w:t>been generated from the RSF model</w:t>
      </w:r>
      <w:r w:rsidR="00CF2D05">
        <w:rPr>
          <w:rStyle w:val="FootnoteReference"/>
        </w:rPr>
        <w:footnoteReference w:id="3"/>
      </w:r>
      <w:r w:rsidR="00CF2D05">
        <w:t xml:space="preserve">. </w:t>
      </w:r>
      <w:r w:rsidR="00AA3037" w:rsidRPr="00AA3037">
        <w:rPr>
          <w:position w:val="-6"/>
        </w:rPr>
        <w:object w:dxaOrig="220" w:dyaOrig="279">
          <v:shape id="_x0000_i1035" type="#_x0000_t75" style="width:10.5pt;height:13.5pt" o:ole="">
            <v:imagedata r:id="rId24" o:title=""/>
          </v:shape>
          <o:OLEObject Type="Embed" ProgID="Equation.DSMT4" ShapeID="_x0000_i1035" DrawAspect="Content" ObjectID="_1508142904" r:id="rId25"/>
        </w:object>
      </w:r>
      <w:r w:rsidR="00AA3037">
        <w:t xml:space="preserve"> here is the survivorship function </w:t>
      </w:r>
      <w:r w:rsidR="00AA3037">
        <w:fldChar w:fldCharType="begin"/>
      </w:r>
      <w:r w:rsidR="00412F2D">
        <w:instrText xml:space="preserve"> ADDIN ZOTERO_ITEM CSL_CITATION {"citationID":"2h2m5vd8gv","properties":{"formattedCitation":"[7]","plainCitation":"[7]"},"citationItems":[{"id":134,"uris":["http://zotero.org/users/1980127/items/EAXIXW2C"],"uri":["http://zotero.org/users/1980127/items/EAXIXW2C"],"itemData":{"id":134,"type":"book","title":"Statistical Methods for Survival Data Analysis","publisher":"Wiley-Interscience","publisher-place":"New York","number-of-pages":"534","edition":"3 edition","source":"Amazon.com","event-place":"New York","abstract":"Third Edition brings the text up to date with new material and updated references.New content includes an introduction to left and interval censored data; the log-logistic distribution; estimation procedures for left and interval censored data; parametric methods iwth covariates; Cox's proportional hazards model (including stratification and time-dependent covariates); and multiple responses to the logistic regression model.Coverage of graphical methods has been deleted.Large data sets are provided on an FTP site for readers' convenience.Bibliographic remarks conclude each chapter.","ISBN":"9780471369974","language":"English","author":[{"family":"Lee","given":"Elisa T."}],"issued":{"date-parts":[["2003",4,17]]}}}],"schema":"https://github.com/citation-style-language/schema/raw/master/csl-citation.json"} </w:instrText>
      </w:r>
      <w:r w:rsidR="00AA3037">
        <w:fldChar w:fldCharType="separate"/>
      </w:r>
      <w:r w:rsidR="00AA3037" w:rsidRPr="00AA3037">
        <w:t>[7]</w:t>
      </w:r>
      <w:r w:rsidR="00AA3037">
        <w:fldChar w:fldCharType="end"/>
      </w:r>
      <w:r w:rsidR="00AA3037">
        <w:t>.</w:t>
      </w:r>
      <w:r w:rsidR="001C1E5A">
        <w:t xml:space="preserve"> </w:t>
      </w:r>
      <w:r w:rsidR="00F3531E">
        <w:t>Ishwaran et. al.  show that t</w:t>
      </w:r>
      <w:r w:rsidR="00F3531E" w:rsidRPr="00F3531E">
        <w:t xml:space="preserve">he </w:t>
      </w:r>
      <w:r w:rsidR="00F3531E">
        <w:t xml:space="preserve">Cumulative Hazard Function (CHF), </w:t>
      </w:r>
      <w:r w:rsidR="00F3531E" w:rsidRPr="00F3531E">
        <w:rPr>
          <w:position w:val="-10"/>
        </w:rPr>
        <w:object w:dxaOrig="540" w:dyaOrig="320">
          <v:shape id="_x0000_i1036" type="#_x0000_t75" style="width:27pt;height:16.5pt" o:ole="">
            <v:imagedata r:id="rId26" o:title=""/>
          </v:shape>
          <o:OLEObject Type="Embed" ProgID="Equation.DSMT4" ShapeID="_x0000_i1036" DrawAspect="Content" ObjectID="_1508142905" r:id="rId27"/>
        </w:object>
      </w:r>
      <w:r w:rsidR="00F3531E" w:rsidRPr="00F3531E">
        <w:t xml:space="preserve">estimate for </w:t>
      </w:r>
      <w:r w:rsidR="00F3531E" w:rsidRPr="00F3531E">
        <w:rPr>
          <w:position w:val="-6"/>
        </w:rPr>
        <w:object w:dxaOrig="200" w:dyaOrig="279">
          <v:shape id="_x0000_i1037" type="#_x0000_t75" style="width:10.5pt;height:13.5pt" o:ole="">
            <v:imagedata r:id="rId28" o:title=""/>
          </v:shape>
          <o:OLEObject Type="Embed" ProgID="Equation.DSMT4" ShapeID="_x0000_i1037" DrawAspect="Content" ObjectID="_1508142906" r:id="rId29"/>
        </w:object>
      </w:r>
      <w:r w:rsidR="00F3531E">
        <w:t xml:space="preserve"> </w:t>
      </w:r>
      <w:r w:rsidR="00F3531E" w:rsidRPr="00F3531E">
        <w:t xml:space="preserve">is </w:t>
      </w:r>
      <w:r w:rsidR="00F3531E">
        <w:t xml:space="preserve">in fact </w:t>
      </w:r>
      <w:r w:rsidR="00F3531E" w:rsidRPr="00F3531E">
        <w:t>the Nelson-Aalen estimator</w:t>
      </w:r>
      <w:r w:rsidR="00F3531E">
        <w:t xml:space="preserve"> </w:t>
      </w:r>
      <w:r w:rsidR="00F3531E">
        <w:fldChar w:fldCharType="begin"/>
      </w:r>
      <w:r w:rsidR="00412F2D">
        <w:instrText xml:space="preserve"> ADDIN ZOTERO_ITEM CSL_CITATION {"citationID":"mn4a94khd","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rsidR="00F3531E">
        <w:fldChar w:fldCharType="separate"/>
      </w:r>
      <w:r w:rsidR="00F3531E" w:rsidRPr="00F3531E">
        <w:t>[12]</w:t>
      </w:r>
      <w:r w:rsidR="00F3531E">
        <w:fldChar w:fldCharType="end"/>
      </w:r>
      <w:r w:rsidR="00F3531E">
        <w:t xml:space="preserve"> which can be expressed as:</w:t>
      </w:r>
    </w:p>
    <w:p w:rsidR="00F3531E" w:rsidRDefault="00A33A02" w:rsidP="00A33A02">
      <w:pPr>
        <w:pStyle w:val="Displayedequation"/>
      </w:pPr>
      <w:r>
        <w:tab/>
      </w:r>
      <w:r w:rsidR="00F3531E" w:rsidRPr="00F3531E">
        <w:rPr>
          <w:position w:val="-32"/>
        </w:rPr>
        <w:object w:dxaOrig="1300" w:dyaOrig="700">
          <v:shape id="_x0000_i1038" type="#_x0000_t75" style="width:64.5pt;height:34.5pt" o:ole="">
            <v:imagedata r:id="rId30" o:title=""/>
          </v:shape>
          <o:OLEObject Type="Embed" ProgID="Equation.DSMT4" ShapeID="_x0000_i1038" DrawAspect="Content" ObjectID="_1508142907" r:id="rId31"/>
        </w:object>
      </w:r>
      <w:r w:rsidR="00D06D58">
        <w:t>,</w:t>
      </w:r>
      <w:r w:rsidR="001C1E5A">
        <w:tab/>
      </w:r>
      <w:r w:rsidR="001C1E5A">
        <w:tab/>
      </w:r>
      <w:r w:rsidR="00F3531E">
        <w:fldChar w:fldCharType="begin"/>
      </w:r>
      <w:r w:rsidR="00F3531E">
        <w:instrText xml:space="preserve"> MACROBUTTON MTPlaceRef \* MERGEFORMAT </w:instrText>
      </w:r>
      <w:r w:rsidR="00F3531E">
        <w:fldChar w:fldCharType="begin"/>
      </w:r>
      <w:r w:rsidR="00F3531E">
        <w:instrText xml:space="preserve"> SEQ MTEqn \h \* MERGEFORMAT </w:instrText>
      </w:r>
      <w:r w:rsidR="00F3531E">
        <w:fldChar w:fldCharType="end"/>
      </w:r>
      <w:r w:rsidR="00F3531E">
        <w:instrText>(</w:instrText>
      </w:r>
      <w:r w:rsidR="0004359F">
        <w:fldChar w:fldCharType="begin"/>
      </w:r>
      <w:r w:rsidR="0004359F">
        <w:instrText xml:space="preserve"> SEQ MTSec \c \* Arabic \* MERGEFORMAT </w:instrText>
      </w:r>
      <w:r w:rsidR="0004359F">
        <w:fldChar w:fldCharType="separate"/>
      </w:r>
      <w:r w:rsidR="004D412C">
        <w:rPr>
          <w:noProof/>
        </w:rPr>
        <w:instrText>1</w:instrText>
      </w:r>
      <w:r w:rsidR="0004359F">
        <w:rPr>
          <w:noProof/>
        </w:rPr>
        <w:fldChar w:fldCharType="end"/>
      </w:r>
      <w:r w:rsidR="00F3531E">
        <w:instrText>.</w:instrText>
      </w:r>
      <w:r w:rsidR="0004359F">
        <w:fldChar w:fldCharType="begin"/>
      </w:r>
      <w:r w:rsidR="0004359F">
        <w:instrText xml:space="preserve"> SEQ MTEqn \c \* Arabic \* MERGEFORMAT </w:instrText>
      </w:r>
      <w:r w:rsidR="0004359F">
        <w:fldChar w:fldCharType="separate"/>
      </w:r>
      <w:r w:rsidR="004D412C">
        <w:rPr>
          <w:noProof/>
        </w:rPr>
        <w:instrText>4</w:instrText>
      </w:r>
      <w:r w:rsidR="0004359F">
        <w:rPr>
          <w:noProof/>
        </w:rPr>
        <w:fldChar w:fldCharType="end"/>
      </w:r>
      <w:r w:rsidR="00F3531E">
        <w:instrText>)</w:instrText>
      </w:r>
      <w:r w:rsidR="00F3531E">
        <w:fldChar w:fldCharType="end"/>
      </w:r>
      <w:r>
        <w:tab/>
      </w:r>
    </w:p>
    <w:p w:rsidR="001D6002" w:rsidRDefault="00200792" w:rsidP="001C1E5A">
      <w:pPr>
        <w:pStyle w:val="Newparagraph"/>
      </w:pPr>
      <w:r>
        <w:t xml:space="preserve">with </w:t>
      </w:r>
      <w:r w:rsidRPr="00200792">
        <w:rPr>
          <w:position w:val="-12"/>
        </w:rPr>
        <w:object w:dxaOrig="240" w:dyaOrig="360">
          <v:shape id="_x0000_i1039" type="#_x0000_t75" style="width:12pt;height:18pt" o:ole="">
            <v:imagedata r:id="rId32" o:title=""/>
          </v:shape>
          <o:OLEObject Type="Embed" ProgID="Equation.DSMT4" ShapeID="_x0000_i1039" DrawAspect="Content" ObjectID="_1508142908" r:id="rId33"/>
        </w:object>
      </w:r>
      <w:r>
        <w:t xml:space="preserve"> </w:t>
      </w:r>
      <w:r w:rsidRPr="00200792">
        <w:t xml:space="preserve">the number of </w:t>
      </w:r>
      <w:r>
        <w:t>readmission</w:t>
      </w:r>
      <w:r w:rsidRPr="00200792">
        <w:t xml:space="preserve"> at</w:t>
      </w:r>
      <w:r>
        <w:t xml:space="preserve"> time </w:t>
      </w:r>
      <w:r w:rsidRPr="00200792">
        <w:rPr>
          <w:position w:val="-12"/>
        </w:rPr>
        <w:object w:dxaOrig="180" w:dyaOrig="360">
          <v:shape id="_x0000_i1040" type="#_x0000_t75" style="width:9pt;height:18pt" o:ole="">
            <v:imagedata r:id="rId34" o:title=""/>
          </v:shape>
          <o:OLEObject Type="Embed" ProgID="Equation.DSMT4" ShapeID="_x0000_i1040" DrawAspect="Content" ObjectID="_1508142909" r:id="rId35"/>
        </w:object>
      </w:r>
      <w:r>
        <w:t xml:space="preserve"> </w:t>
      </w:r>
      <w:r w:rsidRPr="00200792">
        <w:t xml:space="preserve">and </w:t>
      </w:r>
      <w:r w:rsidRPr="00200792">
        <w:rPr>
          <w:position w:val="-12"/>
        </w:rPr>
        <w:object w:dxaOrig="240" w:dyaOrig="360">
          <v:shape id="_x0000_i1041" type="#_x0000_t75" style="width:12pt;height:18pt" o:ole="">
            <v:imagedata r:id="rId36" o:title=""/>
          </v:shape>
          <o:OLEObject Type="Embed" ProgID="Equation.DSMT4" ShapeID="_x0000_i1041" DrawAspect="Content" ObjectID="_1508142910" r:id="rId37"/>
        </w:object>
      </w:r>
      <w:r>
        <w:t xml:space="preserve"> </w:t>
      </w:r>
      <w:r w:rsidRPr="00200792">
        <w:t xml:space="preserve">the total </w:t>
      </w:r>
      <w:r>
        <w:t xml:space="preserve">number of patients at </w:t>
      </w:r>
      <w:r w:rsidR="001C1E5A">
        <w:t>risk</w:t>
      </w:r>
      <w:r>
        <w:t xml:space="preserve"> for readmission at time </w:t>
      </w:r>
      <w:r w:rsidRPr="00200792">
        <w:rPr>
          <w:position w:val="-12"/>
        </w:rPr>
        <w:object w:dxaOrig="180" w:dyaOrig="360">
          <v:shape id="_x0000_i1042" type="#_x0000_t75" style="width:9pt;height:18pt" o:ole="">
            <v:imagedata r:id="rId34" o:title=""/>
          </v:shape>
          <o:OLEObject Type="Embed" ProgID="Equation.DSMT4" ShapeID="_x0000_i1042" DrawAspect="Content" ObjectID="_1508142911" r:id="rId38"/>
        </w:object>
      </w:r>
      <w:r w:rsidRPr="00200792">
        <w:t xml:space="preserve"> </w:t>
      </w:r>
      <w:r w:rsidR="00FB6AC4">
        <w:fldChar w:fldCharType="begin"/>
      </w:r>
      <w:r w:rsidR="00412F2D">
        <w:instrText xml:space="preserve"> ADDIN ZOTERO_ITEM CSL_CITATION {"citationID":"a53qgarec","properties":{"formattedCitation":"[8]","plainCitation":"[8]"},"citationItems":[{"id":1121,"uris":["http://zotero.org/users/1980127/items/Q8ATT984"],"uri":["http://zotero.org/users/1980127/items/Q8ATT984"],"itemData":{"id":1121,"type":"article-journal","title":"Nonparametric Survival Analysis","container-title":"Statistical Science","page":"615-623","volume":"19","issue":"4","source":"JSTOR","abstract":"Some classes of nonparametric procedures with randomly right-censored data are presented. They include procedures for analysis of variance and analysis of covariance designs with independent and dependent ordinal (continuous and discrete) data.","ISSN":"0883-4237","journalAbbreviation":"Statistical Science","author":[{"family":"Akritas","given":"Michael G."}],"issued":{"date-parts":[["2004",11,1]]},"accessed":{"date-parts":[["2015",3,12]]}}}],"schema":"https://github.com/citation-style-language/schema/raw/master/csl-citation.json"} </w:instrText>
      </w:r>
      <w:r w:rsidR="00FB6AC4">
        <w:fldChar w:fldCharType="separate"/>
      </w:r>
      <w:r w:rsidR="00FB6AC4" w:rsidRPr="00FB6AC4">
        <w:t>[8]</w:t>
      </w:r>
      <w:r w:rsidR="00FB6AC4">
        <w:fldChar w:fldCharType="end"/>
      </w:r>
      <w:r w:rsidR="006A31D6">
        <w:t>.</w:t>
      </w:r>
      <w:r w:rsidR="001C1E5A">
        <w:t xml:space="preserve"> </w:t>
      </w:r>
      <w:r w:rsidR="006A31D6" w:rsidRPr="006A31D6">
        <w:rPr>
          <w:position w:val="-18"/>
        </w:rPr>
        <w:object w:dxaOrig="680" w:dyaOrig="420">
          <v:shape id="_x0000_i1043" type="#_x0000_t75" style="width:34.5pt;height:21pt" o:ole="">
            <v:imagedata r:id="rId39" o:title=""/>
          </v:shape>
          <o:OLEObject Type="Embed" ProgID="Equation.DSMT4" ShapeID="_x0000_i1043" DrawAspect="Content" ObjectID="_1508142912" r:id="rId40"/>
        </w:object>
      </w:r>
      <w:r w:rsidR="00940797">
        <w:t>is calculated for each patient</w:t>
      </w:r>
      <w:r w:rsidR="006A31D6">
        <w:t xml:space="preserve"> </w:t>
      </w:r>
      <w:r w:rsidR="006A31D6" w:rsidRPr="006A31D6">
        <w:rPr>
          <w:position w:val="-10"/>
        </w:rPr>
        <w:object w:dxaOrig="200" w:dyaOrig="300">
          <v:shape id="_x0000_i1044" type="#_x0000_t75" style="width:10.5pt;height:15pt" o:ole="">
            <v:imagedata r:id="rId41" o:title=""/>
          </v:shape>
          <o:OLEObject Type="Embed" ProgID="Equation.DSMT4" ShapeID="_x0000_i1044" DrawAspect="Content" ObjectID="_1508142913" r:id="rId42"/>
        </w:object>
      </w:r>
      <w:r w:rsidR="006A31D6">
        <w:t xml:space="preserve"> </w:t>
      </w:r>
      <w:r w:rsidR="00940797">
        <w:t xml:space="preserve">having been discharged within the previous 30 days (i.e. </w:t>
      </w:r>
      <w:r w:rsidR="00940797" w:rsidRPr="00940797">
        <w:rPr>
          <w:position w:val="-6"/>
        </w:rPr>
        <w:object w:dxaOrig="220" w:dyaOrig="320">
          <v:shape id="_x0000_i1045" type="#_x0000_t75" style="width:10.5pt;height:16.5pt" o:ole="">
            <v:imagedata r:id="rId43" o:title=""/>
          </v:shape>
          <o:OLEObject Type="Embed" ProgID="Equation.DSMT4" ShapeID="_x0000_i1045" DrawAspect="Content" ObjectID="_1508142914" r:id="rId44"/>
        </w:object>
      </w:r>
      <w:r w:rsidR="00940797">
        <w:t xml:space="preserve"> takes on values from 1 through 30),  and then these values are ranked on an ordinal scale from highest to lowest</w:t>
      </w:r>
      <w:r w:rsidR="006538C7">
        <w:rPr>
          <w:rStyle w:val="FootnoteReference"/>
        </w:rPr>
        <w:footnoteReference w:id="4"/>
      </w:r>
      <w:r w:rsidR="00940797">
        <w:t xml:space="preserve">. </w:t>
      </w:r>
    </w:p>
    <w:p w:rsidR="001746AE" w:rsidRDefault="002A59D9" w:rsidP="001C1E5A">
      <w:pPr>
        <w:pStyle w:val="Newparagraph"/>
      </w:pPr>
      <w:r>
        <w:t>The ranking is dynamically updated daily. It is likely that each care coordinator will have a large number of patients assigned to them, a significant portion of which will have been discharged within the previous 30 days. Given their limited time and resources, the greatest impact in terms of reducing 30 day readmission rate will be gained through optimal application of effort to the care coordinator’s patient set</w:t>
      </w:r>
      <w:r w:rsidR="00AF2586">
        <w:t>. The ranked list assists the care coordinator in determining which patients to focus on. This is to be used as an adjunct to the care coordinators understanding of each patient’s situation and is not a replacement for judgment.</w:t>
      </w:r>
    </w:p>
    <w:p w:rsidR="001D6002" w:rsidRDefault="00AE14A7" w:rsidP="0004018A">
      <w:pPr>
        <w:pStyle w:val="Heading2"/>
      </w:pPr>
      <w:r>
        <w:t>Feature Selection</w:t>
      </w:r>
    </w:p>
    <w:p w:rsidR="00977053" w:rsidRDefault="00823EE4" w:rsidP="001C1E5A">
      <w:pPr>
        <w:pStyle w:val="Paragraph"/>
      </w:pPr>
      <w:r>
        <w:t xml:space="preserve">The process of feature selection was carried out through inspection of the </w:t>
      </w:r>
      <w:r>
        <w:rPr>
          <w:i/>
        </w:rPr>
        <w:t>variable importance</w:t>
      </w:r>
      <w:r>
        <w:t xml:space="preserve"> statistics as the mod</w:t>
      </w:r>
      <w:r w:rsidR="00977053">
        <w:t>el was iteratively developed. Several techniques wer</w:t>
      </w:r>
      <w:r w:rsidR="003C79D9">
        <w:t xml:space="preserve">e used to avoid over-fitting; </w:t>
      </w:r>
      <w:r w:rsidR="00977053">
        <w:t xml:space="preserve">measures of performance based on bootstrapped cross-validation were used rather than apparent performance </w:t>
      </w:r>
      <w:r w:rsidR="00977053">
        <w:fldChar w:fldCharType="begin"/>
      </w:r>
      <w:r w:rsidR="00412F2D">
        <w:instrText xml:space="preserve"> ADDIN ZOTERO_ITEM CSL_CITATION {"citationID":"n6jrj76sq","properties":{"formattedCitation":"[19]","plainCitation":"[19]"},"citationItems":[{"id":861,"uris":["http://zotero.org/users/1980127/items/DVX4J5JE"],"uri":["http://zotero.org/users/1980127/items/DVX4J5JE"],"itemData":{"id":861,"type":"article-journal","title":"Improvements on Cross-Validation: The .632+ Bootstrap Method","container-title":"Journal of the American Statistical Association","page":"548-560","volume":"92","issue":"438","source":"JSTOR","abstract":"A training set of data has been used to construct a rule for predicting future responses. What is the error rate of this rule? This is an important question both for comparing models and for assessing a final selected model. The traditional answer to this question is given by cross-validation. The cross-validation estimate of prediction error is nearly unbiased but can be highly variable. Here we discuss bootstrap estimates of prediction error, which can be thought of as smoothed versions of cross-validation. We show that a particular bootstrap method, the .632+ rule, substantially outperforms cross-validation in a catalog of 24 simulation experiments. Besides providing point estimates, we also consider estimating the variability of an error rate estimate. All of the results here are nonparametric and apply to any possible prediction rule; however, we study only classification problems with 0-1 loss in detail. Our simulations include \"smooth\" prediction rules like Fisher's linear discriminant function and unsmooth ones like nearest neighbors.","DOI":"10.2307/2965703","ISSN":"0162-1459","shortTitle":"Improvements on Cross-Validation","journalAbbreviation":"Journal of the American Statistical Association","author":[{"family":"Efron","given":"Bradley"},{"family":"Tibshirani","given":"Robert"}],"issued":{"date-parts":[["1997",6,1]]},"accessed":{"date-parts":[["2014",10,20]]}}}],"schema":"https://github.com/citation-style-language/schema/raw/master/csl-citation.json"} </w:instrText>
      </w:r>
      <w:r w:rsidR="00977053">
        <w:fldChar w:fldCharType="separate"/>
      </w:r>
      <w:r w:rsidR="00977053" w:rsidRPr="00977053">
        <w:t>[19]</w:t>
      </w:r>
      <w:r w:rsidR="00977053">
        <w:fldChar w:fldCharType="end"/>
      </w:r>
      <w:r w:rsidR="00977053">
        <w:t xml:space="preserve">, </w:t>
      </w:r>
      <w:r w:rsidR="003C79D9">
        <w:t xml:space="preserve">the extent of any over-fitting was monitored using a modified version of Copas’ shrinkage </w:t>
      </w:r>
      <w:r w:rsidR="003C79D9">
        <w:fldChar w:fldCharType="begin"/>
      </w:r>
      <w:r w:rsidR="00412F2D">
        <w:instrText xml:space="preserve"> ADDIN ZOTERO_ITEM CSL_CITATION {"citationID":"1o28ecb3v","properties":{"formattedCitation":"[20]","plainCitation":"[20]"},"citationItems":[{"id":1116,"uris":["http://zotero.org/users/1980127/items/IT29ZUQB"],"uri":["http://zotero.org/users/1980127/items/IT29ZUQB"],"itemData":{"id":1116,"type":"article-journal","title":"Regression, Prediction and Shrinkage","container-title":"Journal of the Royal Statistical Society. Series B (Methodological)","page":"311-354","volume":"45","issue":"3","source":"JSTOR","abstract":"The fit of a regression predictor to new data is nearly always worse than its fit to the original data. Anticipating this shrinkage leads to Stein-type predictors which, under certain assumptions, give a uniformly lower prediction mean squared error than least squares. Shrinkage can be particularly marked when stepwise fitting is used: the shrinkage is then closer to that expected of the full regression rather than of the subset regression actually fitted. Preshrunk predictors for selected subsets are proposed and tested on a number of practical examples. Both multiple and binary (logistic) regression models are considered.","ISSN":"0035-9246","journalAbbreviation":"Journal of the Royal Statistical Society. Series B (Methodological)","author":[{"family":"Copas","given":"J. B."}],"issued":{"date-parts":[["1983",1,1]]},"accessed":{"date-parts":[["2015",3,15]]}}}],"schema":"https://github.com/citation-style-language/schema/raw/master/csl-citation.json"} </w:instrText>
      </w:r>
      <w:r w:rsidR="003C79D9">
        <w:fldChar w:fldCharType="separate"/>
      </w:r>
      <w:r w:rsidR="003C79D9" w:rsidRPr="003C79D9">
        <w:t>[20]</w:t>
      </w:r>
      <w:r w:rsidR="003C79D9">
        <w:fldChar w:fldCharType="end"/>
      </w:r>
      <w:r w:rsidR="003C79D9">
        <w:t>. The final versions of the model contained only 16 predictors and a training set of over 7,000 care spells reducing the likelihood of over-fitting.</w:t>
      </w:r>
    </w:p>
    <w:p w:rsidR="003C79D9" w:rsidRDefault="003C79D9" w:rsidP="001C1E5A">
      <w:pPr>
        <w:pStyle w:val="Newparagraph"/>
      </w:pPr>
      <w:r>
        <w:t xml:space="preserve">Features in the final model are of two </w:t>
      </w:r>
      <w:r w:rsidR="00C4439C">
        <w:t>forms</w:t>
      </w:r>
      <w:r>
        <w:t>; simple and derived. Simple features are directly related to attributes in the data set</w:t>
      </w:r>
      <w:r>
        <w:rPr>
          <w:rStyle w:val="FootnoteReference"/>
        </w:rPr>
        <w:footnoteReference w:id="5"/>
      </w:r>
      <w:r>
        <w:t xml:space="preserve">. Derived features </w:t>
      </w:r>
      <w:r w:rsidR="00C4439C">
        <w:t>are generated through, sometimes complex, combinations and transformations of attributes in the data set. Features fell</w:t>
      </w:r>
      <w:r w:rsidR="00AB1EEA">
        <w:t xml:space="preserve"> into several broad categories;</w:t>
      </w:r>
    </w:p>
    <w:p w:rsidR="00AB1EEA" w:rsidRDefault="00AB1EEA" w:rsidP="001C1E5A">
      <w:pPr>
        <w:pStyle w:val="Newparagraph"/>
        <w:numPr>
          <w:ilvl w:val="0"/>
          <w:numId w:val="36"/>
        </w:numPr>
      </w:pPr>
      <w:r>
        <w:t>Demographic: Age, gender and race.</w:t>
      </w:r>
    </w:p>
    <w:p w:rsidR="00AB1EEA" w:rsidRDefault="00AB1EEA" w:rsidP="001C1E5A">
      <w:pPr>
        <w:pStyle w:val="Newparagraph"/>
        <w:numPr>
          <w:ilvl w:val="0"/>
          <w:numId w:val="36"/>
        </w:numPr>
      </w:pPr>
      <w:r>
        <w:t xml:space="preserve">Socioeconomic: With the patient’s address, it was possible to determine the US census block in which they resided </w:t>
      </w:r>
      <w:r>
        <w:fldChar w:fldCharType="begin"/>
      </w:r>
      <w:r w:rsidR="00412F2D">
        <w:instrText xml:space="preserve"> ADDIN ZOTERO_ITEM CSL_CITATION {"citationID":"1ritrmfaco","properties":{"formattedCitation":"[21]","plainCitation":"[21]"},"citationItems":[{"id":1113,"uris":["http://zotero.org/users/1980127/items/5Z2CXZXK"],"uri":["http://zotero.org/users/1980127/items/5Z2CXZXK"],"itemData":{"id":1113,"type":"book","title":"Census Block Conversions API","publisher":"Federal Communications Commision","issued":{"date-parts":[["2009",4,11]]}}}],"schema":"https://github.com/citation-style-language/schema/raw/master/csl-citation.json"} </w:instrText>
      </w:r>
      <w:r>
        <w:fldChar w:fldCharType="separate"/>
      </w:r>
      <w:r w:rsidRPr="00AB1EEA">
        <w:t>[21]</w:t>
      </w:r>
      <w:r>
        <w:fldChar w:fldCharType="end"/>
      </w:r>
      <w:r>
        <w:t xml:space="preserve">. Using this information it was possible to </w:t>
      </w:r>
      <w:r w:rsidR="00EA0030">
        <w:t xml:space="preserve">extract </w:t>
      </w:r>
      <w:r w:rsidR="002C778C">
        <w:t xml:space="preserve">information on a variety of socioeconomic factors </w:t>
      </w:r>
      <w:r w:rsidR="002C778C">
        <w:fldChar w:fldCharType="begin"/>
      </w:r>
      <w:r w:rsidR="00412F2D">
        <w:instrText xml:space="preserve"> ADDIN ZOTERO_ITEM CSL_CITATION {"citationID":"1qmr9fdpch","properties":{"formattedCitation":"[22]","plainCitation":"[22]"},"citationItems":[{"id":1125,"uris":["http://zotero.org/users/1980127/items/WNDS76JQ"],"uri":["http://zotero.org/users/1980127/items/WNDS76JQ"],"itemData":{"id":1125,"type":"webpage","title":"American Community Survey: User Notes","abstract":"Data Year ACS User Note (year here) (title here) (paragraph here) --&gt; All An Apparent Contradiction between the Householder Mover Variable and the Person Migration Variables on the ACS Public Use Microdata Sample (PUMS) Files ACS PUMS users have...","URL":"http://www.census.gov/acs/www/data_documentation/user_notes/","language":"EN-US","author":[{"family":"Office","given":"American Community Survey"}],"accessed":{"date-parts":[["2015",3,15]]}}}],"schema":"https://github.com/citation-style-language/schema/raw/master/csl-citation.json"} </w:instrText>
      </w:r>
      <w:r w:rsidR="002C778C">
        <w:fldChar w:fldCharType="separate"/>
      </w:r>
      <w:r w:rsidR="002C778C" w:rsidRPr="002C778C">
        <w:t>[22]</w:t>
      </w:r>
      <w:r w:rsidR="002C778C">
        <w:fldChar w:fldCharType="end"/>
      </w:r>
      <w:r w:rsidR="002C778C">
        <w:t>. Included in the model were factors related to median income, and level of education.</w:t>
      </w:r>
    </w:p>
    <w:p w:rsidR="009F4079" w:rsidRDefault="009F4079" w:rsidP="001C1E5A">
      <w:pPr>
        <w:pStyle w:val="Newparagraph"/>
        <w:numPr>
          <w:ilvl w:val="0"/>
          <w:numId w:val="36"/>
        </w:numPr>
      </w:pPr>
      <w:r>
        <w:lastRenderedPageBreak/>
        <w:t>Access to Care: With the location information, it was also possible to create several features used as surrogates for ease of access to care.</w:t>
      </w:r>
    </w:p>
    <w:p w:rsidR="009F4079" w:rsidRDefault="009F4079" w:rsidP="001C1E5A">
      <w:pPr>
        <w:pStyle w:val="Newparagraph"/>
        <w:numPr>
          <w:ilvl w:val="1"/>
          <w:numId w:val="36"/>
        </w:numPr>
      </w:pPr>
      <w:r>
        <w:t>Distance</w:t>
      </w:r>
      <w:r>
        <w:rPr>
          <w:rStyle w:val="FootnoteReference"/>
        </w:rPr>
        <w:footnoteReference w:id="6"/>
      </w:r>
      <w:r>
        <w:t xml:space="preserve"> to PCP</w:t>
      </w:r>
    </w:p>
    <w:p w:rsidR="009F4079" w:rsidRDefault="009F4079" w:rsidP="001C1E5A">
      <w:pPr>
        <w:pStyle w:val="Newparagraph"/>
        <w:numPr>
          <w:ilvl w:val="1"/>
          <w:numId w:val="36"/>
        </w:numPr>
      </w:pPr>
      <w:r>
        <w:t>Distance to admitting facility. For spells covering multiple claims and multiple facilities, the distance to the initial admitting facility was used.</w:t>
      </w:r>
    </w:p>
    <w:p w:rsidR="009F4079" w:rsidRDefault="009F4079" w:rsidP="001C1E5A">
      <w:pPr>
        <w:pStyle w:val="Newparagraph"/>
        <w:numPr>
          <w:ilvl w:val="1"/>
          <w:numId w:val="36"/>
        </w:numPr>
      </w:pPr>
      <w:r>
        <w:t>Density of care providers within zip-code.</w:t>
      </w:r>
    </w:p>
    <w:p w:rsidR="002C778C" w:rsidRDefault="002C778C" w:rsidP="001C1E5A">
      <w:pPr>
        <w:pStyle w:val="Newparagraph"/>
        <w:numPr>
          <w:ilvl w:val="0"/>
          <w:numId w:val="36"/>
        </w:numPr>
      </w:pPr>
      <w:r>
        <w:t xml:space="preserve">Medical Condition: </w:t>
      </w:r>
    </w:p>
    <w:p w:rsidR="002C778C" w:rsidRDefault="002C778C" w:rsidP="001C1E5A">
      <w:pPr>
        <w:pStyle w:val="Newparagraph"/>
        <w:numPr>
          <w:ilvl w:val="1"/>
          <w:numId w:val="36"/>
        </w:numPr>
      </w:pPr>
      <w:r>
        <w:t>ICD9 Diagnosis Codes:</w:t>
      </w:r>
    </w:p>
    <w:p w:rsidR="002C778C" w:rsidRDefault="002C778C" w:rsidP="001C1E5A">
      <w:pPr>
        <w:pStyle w:val="Newparagraph"/>
        <w:numPr>
          <w:ilvl w:val="2"/>
          <w:numId w:val="36"/>
        </w:numPr>
      </w:pPr>
      <w:r>
        <w:t>At the individual claim level for principle and admitting diagnoses, at the claim level.</w:t>
      </w:r>
    </w:p>
    <w:p w:rsidR="002C778C" w:rsidRDefault="002C778C" w:rsidP="001C1E5A">
      <w:pPr>
        <w:pStyle w:val="Newparagraph"/>
        <w:numPr>
          <w:ilvl w:val="2"/>
          <w:numId w:val="36"/>
        </w:numPr>
      </w:pPr>
      <w:r>
        <w:t>When a single episode and/or spell of care included several individual claims, the set of unique codes was sequentially combined into a single hashed value which then represented a category in this feature.</w:t>
      </w:r>
    </w:p>
    <w:p w:rsidR="00735553" w:rsidRDefault="00735553" w:rsidP="001C1E5A">
      <w:pPr>
        <w:pStyle w:val="Newparagraph"/>
        <w:numPr>
          <w:ilvl w:val="2"/>
          <w:numId w:val="36"/>
        </w:numPr>
      </w:pPr>
      <w:r>
        <w:t>Count of total number of unique diagnoses codes.</w:t>
      </w:r>
    </w:p>
    <w:p w:rsidR="002C778C" w:rsidRDefault="002C778C" w:rsidP="001C1E5A">
      <w:pPr>
        <w:pStyle w:val="Newparagraph"/>
        <w:numPr>
          <w:ilvl w:val="1"/>
          <w:numId w:val="36"/>
        </w:numPr>
      </w:pPr>
      <w:r>
        <w:t xml:space="preserve">Charlson </w:t>
      </w:r>
      <w:r w:rsidR="00735553">
        <w:t>Comorbidity Indicators: These were derived using the entire set of unique diagnoses removing those that were considered to be principle diagnoses.</w:t>
      </w:r>
    </w:p>
    <w:p w:rsidR="00735553" w:rsidRDefault="009F4079" w:rsidP="001C1E5A">
      <w:pPr>
        <w:pStyle w:val="Newparagraph"/>
        <w:numPr>
          <w:ilvl w:val="0"/>
          <w:numId w:val="36"/>
        </w:numPr>
      </w:pPr>
      <w:r>
        <w:t>Care Process:</w:t>
      </w:r>
    </w:p>
    <w:p w:rsidR="00BD7FF5" w:rsidRDefault="00BD7FF5" w:rsidP="001C1E5A">
      <w:pPr>
        <w:pStyle w:val="Newparagraph"/>
        <w:numPr>
          <w:ilvl w:val="1"/>
          <w:numId w:val="36"/>
        </w:numPr>
      </w:pPr>
      <w:r>
        <w:t>Admission Type: Emergency, Urgent, Elective, Trauma Center, Unknown</w:t>
      </w:r>
    </w:p>
    <w:p w:rsidR="00812B89" w:rsidRDefault="00BD7FF5" w:rsidP="001C1E5A">
      <w:pPr>
        <w:pStyle w:val="Newparagraph"/>
        <w:numPr>
          <w:ilvl w:val="1"/>
          <w:numId w:val="36"/>
        </w:numPr>
      </w:pPr>
      <w:r>
        <w:t>Admission Source:</w:t>
      </w:r>
      <w:r w:rsidRPr="00BD7FF5">
        <w:t xml:space="preserve"> </w:t>
      </w:r>
      <w:r>
        <w:t xml:space="preserve">Physician referral, Clinic referral, HMO referral, Transfer </w:t>
      </w:r>
      <w:r w:rsidR="00812B89">
        <w:t>from</w:t>
      </w:r>
      <w:r>
        <w:t xml:space="preserve"> Other Hospital</w:t>
      </w:r>
      <w:r w:rsidR="00812B89">
        <w:t xml:space="preserve">, Transfer </w:t>
      </w:r>
      <w:r>
        <w:t>SN</w:t>
      </w:r>
      <w:r w:rsidR="00812B89">
        <w:t xml:space="preserve">F, Transfer </w:t>
      </w:r>
      <w:r>
        <w:t>Emergency room</w:t>
      </w:r>
      <w:r w:rsidR="00812B89">
        <w:t>, Transfer</w:t>
      </w:r>
      <w:r>
        <w:t xml:space="preserve"> ASC</w:t>
      </w:r>
      <w:r w:rsidR="00812B89">
        <w:t xml:space="preserve">, Transfer </w:t>
      </w:r>
      <w:r>
        <w:t>Hospice</w:t>
      </w:r>
      <w:r w:rsidR="00812B89">
        <w:t>.</w:t>
      </w:r>
    </w:p>
    <w:p w:rsidR="00C50115" w:rsidRDefault="00812B89" w:rsidP="001C1E5A">
      <w:pPr>
        <w:pStyle w:val="Newparagraph"/>
        <w:numPr>
          <w:ilvl w:val="1"/>
          <w:numId w:val="36"/>
        </w:numPr>
      </w:pPr>
      <w:r>
        <w:t xml:space="preserve">Transition / Discharge Patterns. Coding from the original CCLF data files provides 33 codes for patient disposition upon discharge </w:t>
      </w:r>
      <w:r>
        <w:fldChar w:fldCharType="begin"/>
      </w:r>
      <w:r w:rsidR="00412F2D">
        <w:instrText xml:space="preserve"> ADDIN ZOTERO_ITEM CSL_CITATION {"citationID":"f5na5210i","properties":{"formattedCitation":"[6]","plainCitation":"[6]"},"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(IP)","language":"English","author":[{"family":"Northrup Grumman Corporation Information Systems","given":""}],"issued":{"date-parts":[["2013",7,29]]}}}],"schema":"https://github.com/citation-style-language/schema/raw/master/csl-citation.json"} </w:instrText>
      </w:r>
      <w:r>
        <w:fldChar w:fldCharType="separate"/>
      </w:r>
      <w:r w:rsidRPr="00812B89">
        <w:t>[6]</w:t>
      </w:r>
      <w:r>
        <w:fldChar w:fldCharType="end"/>
      </w:r>
      <w:r>
        <w:t>. When there are multiple claims within a spell of care, the sequence of discharge codes describes a sequence of transitions. Nineteen distinct sequences</w:t>
      </w:r>
      <w:r w:rsidRPr="00812B89">
        <w:t xml:space="preserve"> were observed</w:t>
      </w:r>
      <w:r>
        <w:t xml:space="preserve"> with </w:t>
      </w:r>
      <w:r w:rsidR="00C50115">
        <w:t>67% limited to a single transition</w:t>
      </w:r>
      <w:r w:rsidRPr="00812B89">
        <w:t xml:space="preserve">, </w:t>
      </w:r>
      <w:r w:rsidR="00C50115">
        <w:t xml:space="preserve">18% </w:t>
      </w:r>
      <w:r w:rsidRPr="00812B89">
        <w:t xml:space="preserve">included two </w:t>
      </w:r>
      <w:r w:rsidR="00C50115">
        <w:t>transitions</w:t>
      </w:r>
      <w:r w:rsidRPr="00812B89">
        <w:t xml:space="preserve">, </w:t>
      </w:r>
      <w:r w:rsidR="00C50115">
        <w:t>9%</w:t>
      </w:r>
      <w:r w:rsidRPr="00812B89">
        <w:t xml:space="preserve"> involved three </w:t>
      </w:r>
      <w:r w:rsidR="008E35BD">
        <w:t>transitions</w:t>
      </w:r>
      <w:r w:rsidRPr="00812B89">
        <w:t xml:space="preserve">, and </w:t>
      </w:r>
      <w:r w:rsidR="00C50115">
        <w:t>6%</w:t>
      </w:r>
      <w:r w:rsidRPr="00812B89">
        <w:t xml:space="preserve"> involved four or more </w:t>
      </w:r>
      <w:r w:rsidR="00C50115">
        <w:t>transitions. The largest number of transitions for a single patient spell was 14. It should be noted that many of these transitions were not care related and could be attributed to billing cycles and other administrative procedural issues. In addition to coding the patterns of transition, a simple count was also included in the model.</w:t>
      </w:r>
    </w:p>
    <w:p w:rsidR="00544E76" w:rsidRPr="003F31A9" w:rsidRDefault="00C50115" w:rsidP="008E35BD">
      <w:pPr>
        <w:pStyle w:val="Newparagraph"/>
        <w:numPr>
          <w:ilvl w:val="1"/>
          <w:numId w:val="36"/>
        </w:numPr>
        <w:rPr>
          <w:rFonts w:cs="Arial"/>
          <w:b/>
          <w:bCs/>
          <w:iCs/>
          <w:sz w:val="28"/>
          <w:szCs w:val="28"/>
        </w:rPr>
      </w:pPr>
      <w:r>
        <w:t xml:space="preserve">Length of Spell (LOSp): This was calculated as the total time elapsed (in days) from the beginning of the patients care spell to the end. In addition, </w:t>
      </w:r>
      <w:r w:rsidR="00E27B17">
        <w:t xml:space="preserve">the length of stay for each episode was tracked and the ratio of LOSp to average episode </w:t>
      </w:r>
      <w:r w:rsidR="00E27B17">
        <w:lastRenderedPageBreak/>
        <w:t xml:space="preserve">duration was calculated and used as a feature. When a spell includes only one episode, this value is 1. </w:t>
      </w:r>
      <w:r>
        <w:t>When there were multiple episodes/claims within a single spell</w:t>
      </w:r>
      <w:r w:rsidR="00E27B17">
        <w:t xml:space="preserve"> and that spell is long in duration, this value is greater than one. For the patient with 14 episodes within a </w:t>
      </w:r>
      <w:r w:rsidR="006A31D6">
        <w:t>single</w:t>
      </w:r>
      <w:r w:rsidR="00E27B17">
        <w:t xml:space="preserve"> spell, the overall LOSp was 87 days and the average length of within spell episode was 4.3 resulting in a ratio of 20.2.</w:t>
      </w:r>
    </w:p>
    <w:p w:rsidR="003F31A9" w:rsidRDefault="003F31A9" w:rsidP="003F31A9">
      <w:pPr>
        <w:pStyle w:val="Heading2"/>
      </w:pPr>
      <w:r>
        <w:t>Variable Importance</w:t>
      </w:r>
    </w:p>
    <w:p w:rsidR="0006142C" w:rsidRDefault="00566C65" w:rsidP="003F31A9">
      <w:pPr>
        <w:pStyle w:val="Paragraph"/>
      </w:pPr>
      <w:r>
        <w:t xml:space="preserve">Due to its complexity, the type of algorithm used to build this predictive model is not amenable to analytical interpretation of the sort </w:t>
      </w:r>
      <w:r w:rsidR="00C37CDB">
        <w:t xml:space="preserve">available when using less sophisticated (and significantly less accurate) algorithms such as logistic regression. It is possible to determine the relative importance of the variables included in the model. Typically referred to as </w:t>
      </w:r>
      <w:r w:rsidR="00C37CDB" w:rsidRPr="00C37CDB">
        <w:rPr>
          <w:i/>
        </w:rPr>
        <w:t>Variable Importance</w:t>
      </w:r>
      <w:r w:rsidR="00C37CDB">
        <w:t xml:space="preserve"> or </w:t>
      </w:r>
      <w:r w:rsidR="00C37CDB">
        <w:rPr>
          <w:i/>
        </w:rPr>
        <w:t>VIMP</w:t>
      </w:r>
      <w:r w:rsidR="00C37CDB">
        <w:t xml:space="preserve">. </w:t>
      </w:r>
      <w:r w:rsidR="00C77FE5">
        <w:fldChar w:fldCharType="begin"/>
      </w:r>
      <w:r w:rsidR="00C77FE5">
        <w:instrText xml:space="preserve"> REF _Ref417477482 \h </w:instrText>
      </w:r>
      <w:r w:rsidR="00C77FE5">
        <w:fldChar w:fldCharType="separate"/>
      </w:r>
      <w:r w:rsidR="00C77FE5">
        <w:t xml:space="preserve">Table </w:t>
      </w:r>
      <w:r w:rsidR="00C77FE5">
        <w:rPr>
          <w:noProof/>
        </w:rPr>
        <w:t>1</w:t>
      </w:r>
      <w:r w:rsidR="00C77FE5">
        <w:fldChar w:fldCharType="end"/>
      </w:r>
      <w:r w:rsidR="00C77FE5">
        <w:t xml:space="preserve"> </w:t>
      </w:r>
      <w:r w:rsidR="0006142C">
        <w:t>presents the relative variable importance of ea</w:t>
      </w:r>
      <w:r w:rsidR="00C77FE5">
        <w:t>ch of the features.</w:t>
      </w:r>
    </w:p>
    <w:p w:rsidR="006260A1" w:rsidRPr="006260A1" w:rsidRDefault="006260A1" w:rsidP="006260A1">
      <w:pPr>
        <w:pStyle w:val="Newparagraph"/>
      </w:pPr>
    </w:p>
    <w:tbl>
      <w:tblPr>
        <w:tblStyle w:val="TableGrid"/>
        <w:tblW w:w="0" w:type="auto"/>
        <w:jc w:val="center"/>
        <w:tblLook w:val="04A0" w:firstRow="1" w:lastRow="0" w:firstColumn="1" w:lastColumn="0" w:noHBand="0" w:noVBand="1"/>
      </w:tblPr>
      <w:tblGrid>
        <w:gridCol w:w="2490"/>
        <w:gridCol w:w="960"/>
      </w:tblGrid>
      <w:tr w:rsidR="0006142C" w:rsidRPr="0006142C" w:rsidTr="00C77FE5">
        <w:trPr>
          <w:trHeight w:val="300"/>
          <w:jc w:val="center"/>
        </w:trPr>
        <w:tc>
          <w:tcPr>
            <w:tcW w:w="2360" w:type="dxa"/>
            <w:noWrap/>
            <w:hideMark/>
          </w:tcPr>
          <w:p w:rsidR="0006142C" w:rsidRPr="0006142C" w:rsidRDefault="0006142C" w:rsidP="0006142C">
            <w:pPr>
              <w:pStyle w:val="Paragraph"/>
              <w:rPr>
                <w:b/>
                <w:bCs/>
                <w:lang w:val="en-GB"/>
              </w:rPr>
            </w:pPr>
            <w:r w:rsidRPr="0006142C">
              <w:rPr>
                <w:b/>
                <w:bCs/>
                <w:lang w:val="en-GB"/>
              </w:rPr>
              <w:t>Feature</w:t>
            </w:r>
          </w:p>
        </w:tc>
        <w:tc>
          <w:tcPr>
            <w:tcW w:w="960" w:type="dxa"/>
            <w:noWrap/>
            <w:hideMark/>
          </w:tcPr>
          <w:p w:rsidR="0006142C" w:rsidRPr="0006142C" w:rsidRDefault="0006142C" w:rsidP="0006142C">
            <w:pPr>
              <w:pStyle w:val="Paragraph"/>
              <w:rPr>
                <w:b/>
                <w:bCs/>
                <w:lang w:val="en-GB"/>
              </w:rPr>
            </w:pPr>
            <w:r w:rsidRPr="0006142C">
              <w:rPr>
                <w:b/>
                <w:bCs/>
                <w:lang w:val="en-GB"/>
              </w:rPr>
              <w:t>RVIMP</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LOSp </w:t>
            </w:r>
          </w:p>
        </w:tc>
        <w:tc>
          <w:tcPr>
            <w:tcW w:w="960" w:type="dxa"/>
            <w:noWrap/>
            <w:hideMark/>
          </w:tcPr>
          <w:p w:rsidR="0006142C" w:rsidRPr="0006142C" w:rsidRDefault="0006142C" w:rsidP="0006142C">
            <w:pPr>
              <w:pStyle w:val="Paragraph"/>
              <w:rPr>
                <w:lang w:val="en-GB"/>
              </w:rPr>
            </w:pPr>
            <w:r w:rsidRPr="0006142C">
              <w:rPr>
                <w:lang w:val="en-GB"/>
              </w:rPr>
              <w:t>1.000</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Charlson </w:t>
            </w:r>
          </w:p>
        </w:tc>
        <w:tc>
          <w:tcPr>
            <w:tcW w:w="960" w:type="dxa"/>
            <w:noWrap/>
            <w:hideMark/>
          </w:tcPr>
          <w:p w:rsidR="0006142C" w:rsidRPr="0006142C" w:rsidRDefault="0006142C" w:rsidP="0006142C">
            <w:pPr>
              <w:pStyle w:val="Paragraph"/>
              <w:rPr>
                <w:lang w:val="en-GB"/>
              </w:rPr>
            </w:pPr>
            <w:r w:rsidRPr="0006142C">
              <w:rPr>
                <w:lang w:val="en-GB"/>
              </w:rPr>
              <w:t>0.961</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prncplDiagCDSequence </w:t>
            </w:r>
          </w:p>
        </w:tc>
        <w:tc>
          <w:tcPr>
            <w:tcW w:w="960" w:type="dxa"/>
            <w:noWrap/>
            <w:hideMark/>
          </w:tcPr>
          <w:p w:rsidR="0006142C" w:rsidRPr="0006142C" w:rsidRDefault="0006142C" w:rsidP="0006142C">
            <w:pPr>
              <w:pStyle w:val="Paragraph"/>
              <w:rPr>
                <w:lang w:val="en-GB"/>
              </w:rPr>
            </w:pPr>
            <w:r w:rsidRPr="0006142C">
              <w:rPr>
                <w:lang w:val="en-GB"/>
              </w:rPr>
              <w:t>0.898</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admitDiagCDSequence </w:t>
            </w:r>
          </w:p>
        </w:tc>
        <w:tc>
          <w:tcPr>
            <w:tcW w:w="960" w:type="dxa"/>
            <w:noWrap/>
            <w:hideMark/>
          </w:tcPr>
          <w:p w:rsidR="0006142C" w:rsidRPr="0006142C" w:rsidRDefault="0006142C" w:rsidP="0006142C">
            <w:pPr>
              <w:pStyle w:val="Paragraph"/>
              <w:rPr>
                <w:lang w:val="en-GB"/>
              </w:rPr>
            </w:pPr>
            <w:r w:rsidRPr="0006142C">
              <w:rPr>
                <w:lang w:val="en-GB"/>
              </w:rPr>
              <w:t>0.805</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patientAge </w:t>
            </w:r>
          </w:p>
        </w:tc>
        <w:tc>
          <w:tcPr>
            <w:tcW w:w="960" w:type="dxa"/>
            <w:noWrap/>
            <w:hideMark/>
          </w:tcPr>
          <w:p w:rsidR="0006142C" w:rsidRPr="0006142C" w:rsidRDefault="0006142C" w:rsidP="0006142C">
            <w:pPr>
              <w:pStyle w:val="Paragraph"/>
              <w:rPr>
                <w:lang w:val="en-GB"/>
              </w:rPr>
            </w:pPr>
            <w:r w:rsidRPr="0006142C">
              <w:rPr>
                <w:lang w:val="en-GB"/>
              </w:rPr>
              <w:t>0.794</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admitTypeSequence </w:t>
            </w:r>
          </w:p>
        </w:tc>
        <w:tc>
          <w:tcPr>
            <w:tcW w:w="960" w:type="dxa"/>
            <w:noWrap/>
            <w:hideMark/>
          </w:tcPr>
          <w:p w:rsidR="0006142C" w:rsidRPr="0006142C" w:rsidRDefault="0006142C" w:rsidP="0006142C">
            <w:pPr>
              <w:pStyle w:val="Paragraph"/>
              <w:rPr>
                <w:lang w:val="en-GB"/>
              </w:rPr>
            </w:pPr>
            <w:r w:rsidRPr="0006142C">
              <w:rPr>
                <w:lang w:val="en-GB"/>
              </w:rPr>
              <w:t>0.617</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dschrgCDSequence </w:t>
            </w:r>
          </w:p>
        </w:tc>
        <w:tc>
          <w:tcPr>
            <w:tcW w:w="960" w:type="dxa"/>
            <w:noWrap/>
            <w:hideMark/>
          </w:tcPr>
          <w:p w:rsidR="0006142C" w:rsidRPr="0006142C" w:rsidRDefault="0006142C" w:rsidP="0006142C">
            <w:pPr>
              <w:pStyle w:val="Paragraph"/>
              <w:rPr>
                <w:lang w:val="en-GB"/>
              </w:rPr>
            </w:pPr>
            <w:r w:rsidRPr="0006142C">
              <w:rPr>
                <w:lang w:val="en-GB"/>
              </w:rPr>
              <w:t>0.566</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medianIncome </w:t>
            </w:r>
          </w:p>
        </w:tc>
        <w:tc>
          <w:tcPr>
            <w:tcW w:w="960" w:type="dxa"/>
            <w:noWrap/>
            <w:hideMark/>
          </w:tcPr>
          <w:p w:rsidR="0006142C" w:rsidRPr="0006142C" w:rsidRDefault="0006142C" w:rsidP="0006142C">
            <w:pPr>
              <w:pStyle w:val="Paragraph"/>
              <w:rPr>
                <w:lang w:val="en-GB"/>
              </w:rPr>
            </w:pPr>
            <w:r w:rsidRPr="0006142C">
              <w:rPr>
                <w:lang w:val="en-GB"/>
              </w:rPr>
              <w:t>0.390</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eduHS </w:t>
            </w:r>
          </w:p>
        </w:tc>
        <w:tc>
          <w:tcPr>
            <w:tcW w:w="960" w:type="dxa"/>
            <w:noWrap/>
            <w:hideMark/>
          </w:tcPr>
          <w:p w:rsidR="0006142C" w:rsidRPr="0006142C" w:rsidRDefault="0006142C" w:rsidP="0006142C">
            <w:pPr>
              <w:pStyle w:val="Paragraph"/>
              <w:rPr>
                <w:lang w:val="en-GB"/>
              </w:rPr>
            </w:pPr>
            <w:r w:rsidRPr="0006142C">
              <w:rPr>
                <w:lang w:val="en-GB"/>
              </w:rPr>
              <w:t>0.159</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patientRace </w:t>
            </w:r>
          </w:p>
        </w:tc>
        <w:tc>
          <w:tcPr>
            <w:tcW w:w="960" w:type="dxa"/>
            <w:noWrap/>
            <w:hideMark/>
          </w:tcPr>
          <w:p w:rsidR="0006142C" w:rsidRPr="0006142C" w:rsidRDefault="0006142C" w:rsidP="0006142C">
            <w:pPr>
              <w:pStyle w:val="Paragraph"/>
              <w:rPr>
                <w:lang w:val="en-GB"/>
              </w:rPr>
            </w:pPr>
            <w:r w:rsidRPr="0006142C">
              <w:rPr>
                <w:lang w:val="en-GB"/>
              </w:rPr>
              <w:t>0.031</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routeIRF </w:t>
            </w:r>
          </w:p>
        </w:tc>
        <w:tc>
          <w:tcPr>
            <w:tcW w:w="960" w:type="dxa"/>
            <w:noWrap/>
            <w:hideMark/>
          </w:tcPr>
          <w:p w:rsidR="0006142C" w:rsidRPr="0006142C" w:rsidRDefault="0006142C" w:rsidP="0006142C">
            <w:pPr>
              <w:pStyle w:val="Paragraph"/>
              <w:rPr>
                <w:lang w:val="en-GB"/>
              </w:rPr>
            </w:pPr>
            <w:r w:rsidRPr="0006142C">
              <w:rPr>
                <w:lang w:val="en-GB"/>
              </w:rPr>
              <w:t>0.007</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routeSNF </w:t>
            </w:r>
          </w:p>
        </w:tc>
        <w:tc>
          <w:tcPr>
            <w:tcW w:w="960" w:type="dxa"/>
            <w:noWrap/>
            <w:hideMark/>
          </w:tcPr>
          <w:p w:rsidR="0006142C" w:rsidRPr="0006142C" w:rsidRDefault="0006142C" w:rsidP="0006142C">
            <w:pPr>
              <w:pStyle w:val="Paragraph"/>
              <w:rPr>
                <w:lang w:val="en-GB"/>
              </w:rPr>
            </w:pPr>
            <w:r w:rsidRPr="0006142C">
              <w:rPr>
                <w:lang w:val="en-GB"/>
              </w:rPr>
              <w:t>0.004</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r w:rsidRPr="0006142C">
              <w:rPr>
                <w:lang w:val="en-GB"/>
              </w:rPr>
              <w:t xml:space="preserve">routeICF </w:t>
            </w:r>
          </w:p>
        </w:tc>
        <w:tc>
          <w:tcPr>
            <w:tcW w:w="960" w:type="dxa"/>
            <w:noWrap/>
            <w:hideMark/>
          </w:tcPr>
          <w:p w:rsidR="0006142C" w:rsidRPr="0006142C" w:rsidRDefault="0006142C" w:rsidP="0006142C">
            <w:pPr>
              <w:pStyle w:val="Paragraph"/>
              <w:keepNext/>
              <w:rPr>
                <w:lang w:val="en-GB"/>
              </w:rPr>
            </w:pPr>
            <w:r w:rsidRPr="0006142C">
              <w:rPr>
                <w:lang w:val="en-GB"/>
              </w:rPr>
              <w:t>0.000</w:t>
            </w:r>
          </w:p>
        </w:tc>
      </w:tr>
    </w:tbl>
    <w:p w:rsidR="0006142C" w:rsidRDefault="006260A1" w:rsidP="00C77FE5">
      <w:pPr>
        <w:pStyle w:val="Caption"/>
        <w:jc w:val="center"/>
      </w:pPr>
      <w:bookmarkStart w:id="1" w:name="_Ref417477482"/>
      <w:r>
        <w:br/>
      </w:r>
      <w:r w:rsidR="0006142C">
        <w:t xml:space="preserve">Table </w:t>
      </w:r>
      <w:fldSimple w:instr=" SEQ Table \* ARABIC ">
        <w:r w:rsidR="0006142C">
          <w:rPr>
            <w:noProof/>
          </w:rPr>
          <w:t>1</w:t>
        </w:r>
      </w:fldSimple>
      <w:bookmarkEnd w:id="1"/>
      <w:r w:rsidR="0006142C">
        <w:t>: Relative Variable Importance</w:t>
      </w:r>
    </w:p>
    <w:p w:rsidR="0006142C" w:rsidRDefault="0006142C" w:rsidP="003F31A9">
      <w:pPr>
        <w:pStyle w:val="Paragraph"/>
      </w:pPr>
    </w:p>
    <w:p w:rsidR="0006142C" w:rsidRDefault="0006142C" w:rsidP="003F31A9">
      <w:pPr>
        <w:pStyle w:val="Paragraph"/>
      </w:pPr>
    </w:p>
    <w:p w:rsidR="00C77FE5" w:rsidRDefault="00C77FE5" w:rsidP="00C77FE5">
      <w:pPr>
        <w:pStyle w:val="ListParagraph"/>
        <w:numPr>
          <w:ilvl w:val="0"/>
          <w:numId w:val="38"/>
        </w:numPr>
      </w:pPr>
      <w:r>
        <w:t>LOSp: Length of Spell in days</w:t>
      </w:r>
    </w:p>
    <w:p w:rsidR="00C77FE5" w:rsidRDefault="00C77FE5" w:rsidP="00C77FE5">
      <w:pPr>
        <w:pStyle w:val="ListParagraph"/>
        <w:numPr>
          <w:ilvl w:val="0"/>
          <w:numId w:val="38"/>
        </w:numPr>
      </w:pPr>
      <w:r>
        <w:t>Charlson: Charlson comorbidity score. The range for this data set was from 0 to 11.</w:t>
      </w:r>
    </w:p>
    <w:p w:rsidR="00C77FE5" w:rsidRDefault="00C77FE5" w:rsidP="00C77FE5">
      <w:pPr>
        <w:pStyle w:val="ListParagraph"/>
        <w:numPr>
          <w:ilvl w:val="0"/>
          <w:numId w:val="38"/>
        </w:numPr>
      </w:pPr>
      <w:r>
        <w:t>prncplDiagCDSequence: Concatenated sequence of primary diagnosis codes (ICD9).</w:t>
      </w:r>
    </w:p>
    <w:p w:rsidR="00C77FE5" w:rsidRDefault="00C77FE5" w:rsidP="00C77FE5">
      <w:pPr>
        <w:pStyle w:val="ListParagraph"/>
        <w:numPr>
          <w:ilvl w:val="0"/>
          <w:numId w:val="38"/>
        </w:numPr>
      </w:pPr>
      <w:r>
        <w:t>admitlDiagCDSequence: Concatenated sequence of admission diagnosis codes (ICD9).</w:t>
      </w:r>
    </w:p>
    <w:p w:rsidR="00C77FE5" w:rsidRDefault="00C77FE5" w:rsidP="00C77FE5">
      <w:pPr>
        <w:pStyle w:val="ListParagraph"/>
        <w:numPr>
          <w:ilvl w:val="0"/>
          <w:numId w:val="38"/>
        </w:numPr>
      </w:pPr>
      <w:r>
        <w:t>patientAge: Patient’s age in years at time of discharge</w:t>
      </w:r>
    </w:p>
    <w:p w:rsidR="00C77FE5" w:rsidRDefault="00C77FE5" w:rsidP="00C77FE5">
      <w:pPr>
        <w:pStyle w:val="ListParagraph"/>
        <w:numPr>
          <w:ilvl w:val="0"/>
          <w:numId w:val="38"/>
        </w:numPr>
      </w:pPr>
      <w:r>
        <w:t xml:space="preserve">admitTypeSuence: Concatenated sequence of admission type codes. </w:t>
      </w:r>
    </w:p>
    <w:p w:rsidR="00C77FE5" w:rsidRDefault="00C77FE5" w:rsidP="00C77FE5">
      <w:pPr>
        <w:pStyle w:val="ListParagraph"/>
        <w:numPr>
          <w:ilvl w:val="0"/>
          <w:numId w:val="38"/>
        </w:numPr>
      </w:pPr>
      <w:r>
        <w:t>dischrgCDSequence: Concatenated sequence of discharge codes.</w:t>
      </w:r>
    </w:p>
    <w:p w:rsidR="00C77FE5" w:rsidRDefault="00C77FE5" w:rsidP="00C77FE5">
      <w:pPr>
        <w:pStyle w:val="ListParagraph"/>
        <w:numPr>
          <w:ilvl w:val="0"/>
          <w:numId w:val="38"/>
        </w:numPr>
      </w:pPr>
      <w:r>
        <w:t>medianIncome: The median income (in dollars) reported for the census block in which the patient resides.</w:t>
      </w:r>
    </w:p>
    <w:p w:rsidR="006260A1" w:rsidRDefault="00C77FE5" w:rsidP="00C77FE5">
      <w:pPr>
        <w:pStyle w:val="ListParagraph"/>
        <w:numPr>
          <w:ilvl w:val="0"/>
          <w:numId w:val="38"/>
        </w:numPr>
      </w:pPr>
      <w:r>
        <w:t>eduHS: The p</w:t>
      </w:r>
      <w:r w:rsidR="006260A1">
        <w:t>robability that an</w:t>
      </w:r>
      <w:r>
        <w:t xml:space="preserve"> adult</w:t>
      </w:r>
      <w:r w:rsidR="006260A1">
        <w:t xml:space="preserve"> living in the patient’s census block completed High School.</w:t>
      </w:r>
    </w:p>
    <w:p w:rsidR="006260A1" w:rsidRDefault="006260A1" w:rsidP="00C77FE5">
      <w:pPr>
        <w:pStyle w:val="ListParagraph"/>
        <w:numPr>
          <w:ilvl w:val="0"/>
          <w:numId w:val="38"/>
        </w:numPr>
      </w:pPr>
      <w:r>
        <w:lastRenderedPageBreak/>
        <w:t>patientRace: The patien’ts reported race.</w:t>
      </w:r>
    </w:p>
    <w:p w:rsidR="00C77FE5" w:rsidRPr="00C77FE5" w:rsidRDefault="006260A1" w:rsidP="00C77FE5">
      <w:pPr>
        <w:pStyle w:val="ListParagraph"/>
        <w:numPr>
          <w:ilvl w:val="0"/>
          <w:numId w:val="38"/>
        </w:numPr>
      </w:pPr>
      <w:r>
        <w:t>routeIRF, routeSNF, routeICF: A set of three features used to indicate if the patient’s discharge pathway included an SNF (Skilled Nursing Facility),  IRF (Inpatient Rehabilitation Facility), or ICF (Intermediate Care Facility respectively).</w:t>
      </w:r>
      <w:r>
        <w:br/>
      </w:r>
      <w:r w:rsidRPr="00C77FE5">
        <w:t xml:space="preserve"> </w:t>
      </w:r>
    </w:p>
    <w:p w:rsidR="003F31A9" w:rsidRDefault="00C37CDB" w:rsidP="003F31A9">
      <w:pPr>
        <w:pStyle w:val="Paragraph"/>
      </w:pPr>
      <w:r>
        <w:t xml:space="preserve">The process for calculating the VIMP values is essentially one in which each of the features in the final model is removed, one </w:t>
      </w:r>
      <w:r w:rsidR="006260A1">
        <w:t>at</w:t>
      </w:r>
      <w:r>
        <w:t xml:space="preserve"> a time, and the model is re-run and cross-validated. The reduction in predictive power then represents the importance of each feature. When interaction terms between features are included in the model, the process becomes more complex as groups of features must be tested. In the case of </w:t>
      </w:r>
      <w:r>
        <w:rPr>
          <w:i/>
        </w:rPr>
        <w:t>Random Survival Forest</w:t>
      </w:r>
      <w:r>
        <w:t xml:space="preserve"> models, interaction terms are not directly included in the model formulation, rather the impact of interactions is implicitly accounted for in the branching process used to grow the large number of trees (in this case 500).</w:t>
      </w:r>
      <w:r w:rsidR="006260A1">
        <w:t xml:space="preserve"> </w:t>
      </w:r>
    </w:p>
    <w:p w:rsidR="006260A1" w:rsidRDefault="006260A1" w:rsidP="006260A1">
      <w:pPr>
        <w:pStyle w:val="Newparagraph"/>
        <w:keepNext/>
        <w:jc w:val="center"/>
      </w:pPr>
      <w:r w:rsidRPr="006260A1">
        <w:rPr>
          <w:noProof/>
          <w:lang w:eastAsia="en-US"/>
        </w:rPr>
        <w:drawing>
          <wp:inline distT="0" distB="0" distL="0" distR="0" wp14:anchorId="7D9C3210" wp14:editId="6C398838">
            <wp:extent cx="25146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rotWithShape="1">
                    <a:blip r:embed="rId45">
                      <a:extLst>
                        <a:ext uri="{28A0092B-C50C-407E-A947-70E740481C1C}">
                          <a14:useLocalDpi xmlns:a14="http://schemas.microsoft.com/office/drawing/2010/main" val="0"/>
                        </a:ext>
                      </a:extLst>
                    </a:blip>
                    <a:srcRect r="50000"/>
                    <a:stretch/>
                  </pic:blipFill>
                  <pic:spPr bwMode="auto">
                    <a:xfrm>
                      <a:off x="0" y="0"/>
                      <a:ext cx="2514600" cy="5029200"/>
                    </a:xfrm>
                    <a:prstGeom prst="rect">
                      <a:avLst/>
                    </a:prstGeom>
                    <a:noFill/>
                    <a:ln>
                      <a:noFill/>
                    </a:ln>
                    <a:extLst>
                      <a:ext uri="{53640926-AAD7-44D8-BBD7-CCE9431645EC}">
                        <a14:shadowObscured xmlns:a14="http://schemas.microsoft.com/office/drawing/2010/main"/>
                      </a:ext>
                    </a:extLst>
                  </pic:spPr>
                </pic:pic>
              </a:graphicData>
            </a:graphic>
          </wp:inline>
        </w:drawing>
      </w:r>
    </w:p>
    <w:p w:rsidR="006260A1" w:rsidRPr="006260A1" w:rsidRDefault="006260A1" w:rsidP="006260A1">
      <w:pPr>
        <w:pStyle w:val="Caption"/>
        <w:jc w:val="center"/>
      </w:pPr>
      <w:r>
        <w:t xml:space="preserve">Figure </w:t>
      </w:r>
      <w:fldSimple w:instr=" SEQ Figure \* ARABIC ">
        <w:r>
          <w:rPr>
            <w:noProof/>
          </w:rPr>
          <w:t>1</w:t>
        </w:r>
      </w:fldSimple>
      <w:r>
        <w:t xml:space="preserve">: </w:t>
      </w:r>
      <w:r w:rsidR="00A04D5C">
        <w:t>Impact of</w:t>
      </w:r>
      <w:r>
        <w:t xml:space="preserve"> Number of Trees on Error Rate</w:t>
      </w:r>
    </w:p>
    <w:p w:rsidR="003F31A9" w:rsidRPr="003F31A9" w:rsidRDefault="003F31A9" w:rsidP="003F31A9">
      <w:pPr>
        <w:pStyle w:val="Paragraph"/>
      </w:pPr>
    </w:p>
    <w:p w:rsidR="00E27B17" w:rsidRDefault="006A31D6" w:rsidP="0004018A">
      <w:pPr>
        <w:pStyle w:val="Heading2"/>
      </w:pPr>
      <w:r>
        <w:lastRenderedPageBreak/>
        <w:t>E</w:t>
      </w:r>
      <w:r w:rsidR="00453646">
        <w:t>rror</w:t>
      </w:r>
      <w:r w:rsidR="00DD1650">
        <w:t xml:space="preserve"> Measurement</w:t>
      </w:r>
      <w:r w:rsidR="00453646">
        <w:t xml:space="preserve">, Model Tuning, and </w:t>
      </w:r>
      <w:r>
        <w:t>Performance</w:t>
      </w:r>
    </w:p>
    <w:p w:rsidR="006A31D6" w:rsidRDefault="00652016" w:rsidP="001C1E5A">
      <w:pPr>
        <w:pStyle w:val="Paragraph"/>
      </w:pPr>
      <w:r>
        <w:t xml:space="preserve">For statistical learning models where survival time and hazard rates are the predicted outcome or target, </w:t>
      </w:r>
      <w:r w:rsidR="000A127F">
        <w:t xml:space="preserve">the underlying distributions of </w:t>
      </w:r>
      <w:r w:rsidR="000A127F" w:rsidRPr="000A127F">
        <w:rPr>
          <w:position w:val="-6"/>
        </w:rPr>
        <w:object w:dxaOrig="220" w:dyaOrig="279">
          <v:shape id="_x0000_i1046" type="#_x0000_t75" style="width:10.5pt;height:13.5pt" o:ole="">
            <v:imagedata r:id="rId46" o:title=""/>
          </v:shape>
          <o:OLEObject Type="Embed" ProgID="Equation.DSMT4" ShapeID="_x0000_i1046" DrawAspect="Content" ObjectID="_1508142915" r:id="rId47"/>
        </w:object>
      </w:r>
      <w:r w:rsidR="000A127F">
        <w:t xml:space="preserve"> and </w:t>
      </w:r>
      <w:r w:rsidR="000A127F" w:rsidRPr="000A127F">
        <w:rPr>
          <w:position w:val="-4"/>
        </w:rPr>
        <w:object w:dxaOrig="279" w:dyaOrig="260">
          <v:shape id="_x0000_i1047" type="#_x0000_t75" style="width:13.5pt;height:13.5pt" o:ole="">
            <v:imagedata r:id="rId48" o:title=""/>
          </v:shape>
          <o:OLEObject Type="Embed" ProgID="Equation.DSMT4" ShapeID="_x0000_i1047" DrawAspect="Content" ObjectID="_1508142916" r:id="rId49"/>
        </w:object>
      </w:r>
      <w:r w:rsidR="000A127F">
        <w:t xml:space="preserve"> are highly skewed and the data itself is right censored, error measures that compare predicted survival times to actual survival times are far too restrictive. The use of biased estimators compounds this issue. An alternative is to cast the task as one of ranking survival times rather than estimating those times outright. Individual pairs of patients can then be ranked as to which </w:t>
      </w:r>
      <w:r w:rsidR="00F03407">
        <w:t xml:space="preserve">has a shorter estimated time to event (readmission in this case) </w:t>
      </w:r>
      <w:r w:rsidR="000A127F">
        <w:t xml:space="preserve">and then testing this against the known outcomes. This approach is a form of Concordance Index (CI) </w:t>
      </w:r>
      <w:r w:rsidR="00F03407">
        <w:fldChar w:fldCharType="begin"/>
      </w:r>
      <w:r w:rsidR="00412F2D">
        <w:instrText xml:space="preserve"> ADDIN ZOTERO_ITEM CSL_CITATION {"citationID":"hual65m90","properties":{"formattedCitation":"[23]","plainCitation":"[23]"},"citationItems":[{"id":1123,"uris":["http://zotero.org/users/1980127/items/THZRAWUN"],"uri":["http://zotero.org/users/1980127/items/THZRAWUN"],"itemData":{"id":1123,"type":"book","title":"On Ranking in Survival Analysis: Bounds on the Concordance Index","source":"CiteSeer","abstract":"In this paper, we show that classical survival analysis involving censored data can naturally be cast as a ranking problem. The concordance index (CI), which quantifies the quality of rankings, is the standard performance measure for model assessment in survival analysis. In contrast, the standard approach to learning the popular proportional hazard (PH) model is based on Cox’s partial likelihood. We devise two bounds on CI–one of which emerges directly from the properties of PH models–and optimize them directly. Our experimental results suggest that all three methods perform about equally well, with our new approach giving slightly better results. We also explain why a method designed to maximize the Cox’s partial likelihood also ends up (approximately) maximizing the CI. 1","shortTitle":"On Ranking in Survival Analysis","author":[{"family":"Raykar","given":"Vikas C."},{"family":"Steck","given":"Harald"},{"family":"Krishnapuram","given":"Balaji"},{"family":"Dehing-oberije","given":"Cary"}]}}],"schema":"https://github.com/citation-style-language/schema/raw/master/csl-citation.json"} </w:instrText>
      </w:r>
      <w:r w:rsidR="00F03407">
        <w:fldChar w:fldCharType="separate"/>
      </w:r>
      <w:r w:rsidR="00F03407" w:rsidRPr="00F03407">
        <w:t>[23]</w:t>
      </w:r>
      <w:r w:rsidR="00F03407">
        <w:fldChar w:fldCharType="end"/>
      </w:r>
      <w:r w:rsidR="00F03407">
        <w:t xml:space="preserve">, which itself is related to the Mann-Whitney Parameter </w:t>
      </w:r>
      <w:r w:rsidR="00F03407">
        <w:fldChar w:fldCharType="begin"/>
      </w:r>
      <w:r w:rsidR="00412F2D">
        <w:instrText xml:space="preserve"> ADDIN ZOTERO_ITEM CSL_CITATION {"citationID":"12tin9sqmc","properties":{"formattedCitation":"[24]","plainCitation":"[24]"},"citationItems":[{"id":1117,"uris":["http://zotero.org/users/1980127/items/N9NQM4UQ"],"uri":["http://zotero.org/users/1980127/items/N9NQM4UQ"],"itemData":{"id":1117,"type":"article-journal","title":"The Concordance Index C and the Mann–Whitney Parameter Pr(X&gt;Y) with Randomly Censored Data","container-title":"Biometrical Journal","page":"467-474","volume":"51","issue":"3","source":"Wiley Online Library","abstract":"Harrell's c-index or concordance C has been widely used as a measure of separation of two survival distributions. In the absence of censored data, the c-index estimates the Mann–Whitney parameter Pr(X&gt;Y), which has been repeatedly utilized in various statistical contexts. In the presence of randomly censored data, the c-index no longer estimates Pr(X&gt;Y); rather, a parameter that involves the underlying censoring distributions. This is in contrast to Efron's maximum likelihood estimator of the Mann–Whitney parameter, which is recommended in the setting of random censorship.","DOI":"10.1002/bimj.200800228","ISSN":"1521-4036","journalAbbreviation":"Biom. J.","language":"en","author":[{"family":"Koziol","given":"James A."},{"family":"Jia","given":"Zhenyu"}],"issued":{"date-parts":[["2009",7,1]]},"accessed":{"date-parts":[["2015",3,16]]}}}],"schema":"https://github.com/citation-style-language/schema/raw/master/csl-citation.json"} </w:instrText>
      </w:r>
      <w:r w:rsidR="00F03407">
        <w:fldChar w:fldCharType="separate"/>
      </w:r>
      <w:r w:rsidR="00F03407" w:rsidRPr="00F03407">
        <w:t>[24]</w:t>
      </w:r>
      <w:r w:rsidR="00F03407">
        <w:fldChar w:fldCharType="end"/>
      </w:r>
      <w:r w:rsidR="00F03407">
        <w:t>, adjusted for censored data.</w:t>
      </w:r>
      <w:r w:rsidR="00E4238F">
        <w:t xml:space="preserve"> </w:t>
      </w:r>
      <w:r w:rsidR="00EC6F5F">
        <w:t xml:space="preserve">When applied on the test data set, a </w:t>
      </w:r>
      <w:r w:rsidR="00EC6F5F" w:rsidRPr="00EC6F5F">
        <w:t>pair of patients is called concordant if the risk of the event predicted by a model is lower for the patient who experiences the event at a later time</w:t>
      </w:r>
      <w:r w:rsidR="00EC6F5F">
        <w:t xml:space="preserve"> </w:t>
      </w:r>
      <w:r w:rsidR="00EC6F5F" w:rsidRPr="00EC6F5F">
        <w:t xml:space="preserve">point. The concordance probability (C-index) is the frequency of concordant pairs among all pairs of subjects. It can be used to measure and compare the discriminative power of a risk prediction models. </w:t>
      </w:r>
      <w:r w:rsidR="007D337E">
        <w:t xml:space="preserve">In this setting, the concordance probabilities are weighted by the </w:t>
      </w:r>
      <w:r w:rsidR="00EC6F5F" w:rsidRPr="00EC6F5F">
        <w:t>inverse of the probability of censoring</w:t>
      </w:r>
      <w:r w:rsidR="007D337E">
        <w:t xml:space="preserve"> in order</w:t>
      </w:r>
      <w:r w:rsidR="00EC6F5F" w:rsidRPr="00EC6F5F">
        <w:t xml:space="preserve"> to adjust for right censoring. Cross-validation based on bootstrap resampling or bootstrap subsampling can be applied to assess the discriminative power of various modelling strategies on the same set of data. </w:t>
      </w:r>
      <w:r w:rsidR="00E4238F">
        <w:t>While useful as an overall model performance measure, the CI is less useful for model tuning in which</w:t>
      </w:r>
      <w:r w:rsidR="00DD1650">
        <w:t xml:space="preserve"> features are added and removed as small changes in predictive power are difficult to detect. </w:t>
      </w:r>
    </w:p>
    <w:p w:rsidR="00F03407" w:rsidRDefault="00E4238F" w:rsidP="001C1E5A">
      <w:pPr>
        <w:pStyle w:val="Newparagraph"/>
      </w:pPr>
      <w:r>
        <w:t>For model comparison purposes it is important to understand how the ranking is to be used in practice. In use, t</w:t>
      </w:r>
      <w:r w:rsidR="00F03407">
        <w:t>he R</w:t>
      </w:r>
      <w:r w:rsidR="00F03407">
        <w:rPr>
          <w:vertAlign w:val="subscript"/>
        </w:rPr>
        <w:t>3</w:t>
      </w:r>
      <w:r w:rsidR="00F03407">
        <w:t>M application presents an overall ranked list of recently discharged ACO patients (those within 30 days of discharge). The exact ordering of this ranking is less important than th</w:t>
      </w:r>
      <w:r w:rsidR="004D412C">
        <w:t>e groupings. Recast as a top</w:t>
      </w:r>
      <w:r w:rsidR="00F03407">
        <w:t xml:space="preserve"> </w:t>
      </w:r>
      <w:r w:rsidR="00F03407">
        <w:rPr>
          <w:i/>
        </w:rPr>
        <w:t xml:space="preserve">p </w:t>
      </w:r>
      <w:r w:rsidR="004D412C">
        <w:t xml:space="preserve">percent problem, with the user focusing on the patients in the top grouping, performance may best be measured by understanding what a </w:t>
      </w:r>
      <w:r w:rsidR="004D412C">
        <w:rPr>
          <w:i/>
        </w:rPr>
        <w:t>practical</w:t>
      </w:r>
      <w:r w:rsidR="004D412C">
        <w:t xml:space="preserve"> error is. The goal is reduce the number of patients not identified within the top </w:t>
      </w:r>
      <w:r w:rsidR="004D412C">
        <w:rPr>
          <w:i/>
        </w:rPr>
        <w:t xml:space="preserve">p </w:t>
      </w:r>
      <w:r w:rsidR="004D412C">
        <w:t xml:space="preserve">percent that are indeed readmitted within 30 days of their discharge. Secondarily it is most efficient from the care coordinators viewpoint, to reduce the number of patients identified to be within the top </w:t>
      </w:r>
      <w:r w:rsidR="004D412C">
        <w:rPr>
          <w:i/>
        </w:rPr>
        <w:t>p</w:t>
      </w:r>
      <w:r w:rsidR="004D412C">
        <w:t xml:space="preserve"> percent who are at lower risk of being readmitted within thirty days.</w:t>
      </w:r>
    </w:p>
    <w:p w:rsidR="00122A3D" w:rsidRDefault="004D412C" w:rsidP="001C1E5A">
      <w:pPr>
        <w:pStyle w:val="Newparagraph"/>
      </w:pPr>
      <w:r>
        <w:t xml:space="preserve">Because the level </w:t>
      </w:r>
      <w:r>
        <w:rPr>
          <w:i/>
        </w:rPr>
        <w:t>p</w:t>
      </w:r>
      <w:r w:rsidR="00E4238F">
        <w:t xml:space="preserve"> determines</w:t>
      </w:r>
      <w:r>
        <w:t xml:space="preserve"> the relative size of the identified at risk patients, setting </w:t>
      </w:r>
      <w:r>
        <w:rPr>
          <w:i/>
        </w:rPr>
        <w:t>p</w:t>
      </w:r>
      <w:r>
        <w:t xml:space="preserve"> to 1, thus placing all patients above the cutoff would reduce the error rate to zero. However this would be impractical as the purpose is to provide a tool that allows the care coordinator to focus on a smaller group. By setting a (user controllable) cutoff point, the application essentially identifies two groups. For a given level </w:t>
      </w:r>
      <w:r>
        <w:rPr>
          <w:i/>
        </w:rPr>
        <w:t>p</w:t>
      </w:r>
      <w:r w:rsidR="00E4238F">
        <w:t xml:space="preserve"> (sensitivity), the correct determination of membership in the two groups can be used as a way to compare individual models. This is essentially a definition of the </w:t>
      </w:r>
      <w:r w:rsidR="00E4238F">
        <w:rPr>
          <w:i/>
        </w:rPr>
        <w:t xml:space="preserve">Net Reclassification Improvement </w:t>
      </w:r>
      <w:r w:rsidR="00122A3D">
        <w:t xml:space="preserve">index often used in genomic modeling where the number of markers and complexity of models is very large </w:t>
      </w:r>
      <w:r w:rsidR="00122A3D">
        <w:fldChar w:fldCharType="begin"/>
      </w:r>
      <w:r w:rsidR="00412F2D">
        <w:instrText xml:space="preserve"> ADDIN ZOTERO_ITEM CSL_CITATION {"citationID":"2fdf7dmnie","properties":{"formattedCitation":"[25]","plainCitation":"[25]"},"citationItems":[{"id":938,"uris":["http://zotero.org/users/1980127/items/TVSPZF6N"],"uri":["http://zotero.org/users/1980127/items/TVSPZF6N"],"itemData":{"id":938,"type":"article-journal","title":"PredictABEL: an R package for the assessment of risk prediction models","container-title":"European Journal of Epidemiology","page":"261-264","volume":"26","issue":"4","source":"PubMed Central","abstract":"The rapid identification of genetic markers for multifactorial diseases from genome-wide association studies is fuelling interest in investigating the predictive ability and health care utility of genetic risk models. Various measures are available for the assessment of risk prediction models, each addressing a different aspect of performance and utility. We developed PredictABEL, a package in R that covers descriptive tables, measures and figures that are used in the analysis of risk prediction studies such as measures of model fit, predictive ability and clinical utility, and risk distributions, calibration plot and the receiver operating characteristic plot. Tables and figures are saved as separate files in a user-specified format, which include publication-quality EPS and TIFF formats. All figures are available in a ready-made layout, but they can be customized to the preferences of the user. The package has been developed for the analysis of genetic risk prediction studies, but can also be used for studies that only include non-genetic risk factors. PredictABEL is freely available at the websites of GenABEL (http://www.genabel.org) and CRAN (http://cran.r-project.org/).","DOI":"10.1007/s10654-011-9567-4","ISSN":"0393-2990","note":"PMID: 21431839\nPMCID: PMC3088798","shortTitle":"PredictABEL","journalAbbreviation":"Eur J Epidemiol","author":[{"family":"Kundu","given":"Suman"},{"family":"Aulchenko","given":"Yurii S."},{"family":"van Duijn","given":"Cornelia M."},{"family":"Janssens","given":"A. Cecile J. W."}],"issued":{"date-parts":[["2011",4]]},"accessed":{"date-parts":[["2015",3,10]]},"PMID":"21431839","PMCID":"PMC3088798"}}],"schema":"https://github.com/citation-style-language/schema/raw/master/csl-citation.json"} </w:instrText>
      </w:r>
      <w:r w:rsidR="00122A3D">
        <w:fldChar w:fldCharType="separate"/>
      </w:r>
      <w:r w:rsidR="00122A3D" w:rsidRPr="00122A3D">
        <w:t>[25]</w:t>
      </w:r>
      <w:r w:rsidR="00122A3D">
        <w:fldChar w:fldCharType="end"/>
      </w:r>
      <w:r w:rsidR="00122A3D">
        <w:t xml:space="preserve">. </w:t>
      </w:r>
    </w:p>
    <w:p w:rsidR="00544E76" w:rsidRDefault="00544E76">
      <w:pPr>
        <w:rPr>
          <w:rFonts w:cs="Arial"/>
          <w:b/>
          <w:bCs/>
          <w:szCs w:val="26"/>
        </w:rPr>
      </w:pPr>
      <w:r>
        <w:br w:type="page"/>
      </w:r>
    </w:p>
    <w:p w:rsidR="00C86683" w:rsidRDefault="00C86683" w:rsidP="0004018A">
      <w:pPr>
        <w:pStyle w:val="Heading3"/>
      </w:pPr>
      <w:r>
        <w:lastRenderedPageBreak/>
        <w:t>Current Model Performance</w:t>
      </w:r>
    </w:p>
    <w:p w:rsidR="00F35243" w:rsidRDefault="00412F2D" w:rsidP="001C1E5A">
      <w:pPr>
        <w:pStyle w:val="Paragraph"/>
      </w:pPr>
      <w:r>
        <w:t>The current iteration of the model was the set of 9,461 care spells between 2013-01-01 and 2014-09-17 described earlier. The training set included 7,095 cases, with the remaining 2,366 allocated to the test set.</w:t>
      </w:r>
      <w:r w:rsidR="00544E76">
        <w:t xml:space="preserve"> </w:t>
      </w:r>
      <w:r w:rsidR="00544E76">
        <w:fldChar w:fldCharType="begin"/>
      </w:r>
      <w:r w:rsidR="00544E76">
        <w:instrText xml:space="preserve"> REF _Ref414278118 \h </w:instrText>
      </w:r>
      <w:r w:rsidR="00544E76">
        <w:fldChar w:fldCharType="separate"/>
      </w:r>
      <w:r w:rsidR="00544E76">
        <w:t xml:space="preserve">Figure </w:t>
      </w:r>
      <w:r w:rsidR="00544E76">
        <w:rPr>
          <w:noProof/>
        </w:rPr>
        <w:t>1</w:t>
      </w:r>
      <w:r w:rsidR="00544E76">
        <w:fldChar w:fldCharType="end"/>
      </w:r>
      <w:r w:rsidR="00544E76">
        <w:t xml:space="preserve"> </w:t>
      </w:r>
      <w:r w:rsidR="00C86683">
        <w:t>presents a graph of the C-index between days</w:t>
      </w:r>
      <w:r>
        <w:t xml:space="preserve"> 1 and 60</w:t>
      </w:r>
      <w:r w:rsidR="00C86683">
        <w:t xml:space="preserve"> for the current version of the predictive algorithm</w:t>
      </w:r>
      <w:r>
        <w:t xml:space="preserve">. The reference model is the non-parametric Kaplan-Meier estimator </w:t>
      </w:r>
      <w:r>
        <w:fldChar w:fldCharType="begin"/>
      </w:r>
      <w:r>
        <w:instrText xml:space="preserve"> ADDIN ZOTERO_ITEM CSL_CITATION {"citationID":"11u032848a","properties":{"formattedCitation":"[9]","plainCitation":"[9]"},"citationItems":[{"id":1114,"uris":["http://zotero.org/users/1980127/items/9WFPDMEH"],"uri":["http://zotero.org/users/1980127/items/9WFPDMEH"],"itemData":{"id":1114,"type":"article-journal","title":"Nonparametric Estimation from Incomplete Observations","container-title":"Journal of the American Statistical Association","page":"457-481","volume":"53","issue":"282","source":"JSTOR","abstract":"In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0 ≤ t&lt;sub&gt;1&lt;/sub&gt;' ≤ t&lt;sub&gt;2&lt;/sub&gt;' ≤ </w:instrText>
      </w:r>
      <w:r>
        <w:rPr>
          <w:rFonts w:ascii="Cambria Math" w:hAnsi="Cambria Math" w:cs="Cambria Math"/>
        </w:rPr>
        <w:instrText>⋯</w:instrText>
      </w:r>
      <w:r>
        <w:instrText xml:space="preserve"> ≤ t&lt;sub&gt;N&lt;/sub&gt;'. Then &lt;tex-math&gt;$\\hat{P}(t) = \\prod_r \\lbrack(N - r)/(N - r + 1)\\rbrack$&lt;/tex-math&gt;, where r assumes those values for which t&lt;sub&gt;r&lt;/sub&gt;' ≤ t and for which t&lt;sub&gt;r&lt;/sub&gt;'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survivors.","DOI":"10.2307/2281868","ISSN":"0162-1459","journalAbbreviation":"Journal of the American Statistical Association","author":[{"family":"Kaplan","given":"E. L."},{"family":"Meier","given":"Paul"}],"issued":{"date-parts":[["1958",6,1]]},"accessed":{"date-parts":[["2015",3,12]]}}}],"schema":"https://github.com/citation-style-language/schema/raw/master/csl-citation.json"} </w:instrText>
      </w:r>
      <w:r>
        <w:fldChar w:fldCharType="separate"/>
      </w:r>
      <w:r w:rsidRPr="00412F2D">
        <w:t>[9]</w:t>
      </w:r>
      <w:r>
        <w:fldChar w:fldCharType="end"/>
      </w:r>
      <w:r>
        <w:t>.</w:t>
      </w:r>
      <w:r w:rsidR="00544E76">
        <w:t xml:space="preserve"> The RSF model outperforms the reference model in all but a small range of days. Performance of both models is difficult to ascertain within the first five days due to the small</w:t>
      </w:r>
      <w:r w:rsidR="00647C33">
        <w:t xml:space="preserve"> </w:t>
      </w:r>
      <w:r w:rsidR="00544E76">
        <w:t>number of cases where patients were readmitted within that time period</w:t>
      </w:r>
      <w:r w:rsidR="00647C33">
        <w:t>.</w:t>
      </w:r>
    </w:p>
    <w:p w:rsidR="0072169F" w:rsidRPr="0072169F" w:rsidRDefault="0072169F" w:rsidP="0072169F">
      <w:pPr>
        <w:pStyle w:val="Newparagraph"/>
      </w:pPr>
    </w:p>
    <w:p w:rsidR="009A21C1" w:rsidRDefault="00F733F5" w:rsidP="00F35243">
      <w:pPr>
        <w:pStyle w:val="Paragraph"/>
        <w:jc w:val="center"/>
      </w:pPr>
      <w:r>
        <w:rPr>
          <w:noProof/>
          <w:lang w:eastAsia="en-US"/>
        </w:rPr>
        <w:drawing>
          <wp:inline distT="0" distB="0" distL="0" distR="0" wp14:anchorId="26F768C7" wp14:editId="0902F3DA">
            <wp:extent cx="5943600" cy="4312920"/>
            <wp:effectExtent l="0" t="0" r="1905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647C33">
        <w:br/>
      </w:r>
    </w:p>
    <w:p w:rsidR="009A21C1" w:rsidRPr="009A21C1" w:rsidRDefault="009A21C1" w:rsidP="00544E76">
      <w:pPr>
        <w:pStyle w:val="Caption"/>
        <w:jc w:val="center"/>
      </w:pPr>
      <w:bookmarkStart w:id="2" w:name="_Ref414278118"/>
      <w:r>
        <w:t xml:space="preserve">Figure </w:t>
      </w:r>
      <w:fldSimple w:instr=" SEQ Figure \* ARABIC ">
        <w:r w:rsidR="006260A1">
          <w:rPr>
            <w:noProof/>
          </w:rPr>
          <w:t>2</w:t>
        </w:r>
      </w:fldSimple>
      <w:bookmarkEnd w:id="2"/>
      <w:r>
        <w:t>: C-index Statistic</w:t>
      </w:r>
    </w:p>
    <w:p w:rsidR="00B26356" w:rsidRDefault="00B26356" w:rsidP="001C1E5A">
      <w:pPr>
        <w:pStyle w:val="Newparagraph"/>
      </w:pPr>
    </w:p>
    <w:p w:rsidR="00E92CF9" w:rsidRPr="0013423F" w:rsidRDefault="00B26356" w:rsidP="0013423F">
      <w:pPr>
        <w:pStyle w:val="Heading1"/>
      </w:pPr>
      <w:r>
        <w:br w:type="page"/>
      </w:r>
      <w:r w:rsidR="000E747E">
        <w:lastRenderedPageBreak/>
        <w:t>References</w:t>
      </w:r>
    </w:p>
    <w:p w:rsidR="00A7455D" w:rsidRPr="00A7455D" w:rsidRDefault="00953785" w:rsidP="00A7455D">
      <w:pPr>
        <w:pStyle w:val="Bibliography"/>
      </w:pPr>
      <w:r>
        <w:rPr>
          <w:lang w:val="en-US"/>
        </w:rPr>
        <w:fldChar w:fldCharType="begin"/>
      </w:r>
      <w:r w:rsidR="00A7455D">
        <w:rPr>
          <w:lang w:val="en-US"/>
        </w:rPr>
        <w:instrText xml:space="preserve"> ADDIN ZOTERO_BIBL {"custom":[]} CSL_BIBLIOGRAPHY </w:instrText>
      </w:r>
      <w:r>
        <w:rPr>
          <w:lang w:val="en-US"/>
        </w:rPr>
        <w:fldChar w:fldCharType="separate"/>
      </w:r>
      <w:r w:rsidR="00A7455D" w:rsidRPr="00A7455D">
        <w:t>[1]</w:t>
      </w:r>
      <w:r w:rsidR="00A7455D" w:rsidRPr="00A7455D">
        <w:tab/>
        <w:t xml:space="preserve">M. T. Kassin, R. M. Owen, S. Perez, I. Leeds, J. C. Cox, K. Schnier, V. Sadiraj, and J. F. Sweeney, “Risk Factors for 30-Day Hospital Readmission among General Surgery Patients,” </w:t>
      </w:r>
      <w:r w:rsidR="00A7455D" w:rsidRPr="00A7455D">
        <w:rPr>
          <w:i/>
          <w:iCs/>
        </w:rPr>
        <w:t>J. Am. Coll. Surg.</w:t>
      </w:r>
      <w:r w:rsidR="00A7455D" w:rsidRPr="00A7455D">
        <w:t>, vol. 215, no. 3, pp. 322–330, Sep. 2012.</w:t>
      </w:r>
    </w:p>
    <w:p w:rsidR="00A7455D" w:rsidRPr="00A7455D" w:rsidRDefault="00A7455D" w:rsidP="00A7455D">
      <w:pPr>
        <w:pStyle w:val="Bibliography"/>
      </w:pPr>
      <w:r w:rsidRPr="00A7455D">
        <w:t>[2]</w:t>
      </w:r>
      <w:r w:rsidRPr="00A7455D">
        <w:tab/>
        <w:t xml:space="preserve">J. Billings and T. Mijanovich, “Improving The Management Of Care For High-Cost Medicaid Patients,” </w:t>
      </w:r>
      <w:r w:rsidRPr="00A7455D">
        <w:rPr>
          <w:i/>
          <w:iCs/>
        </w:rPr>
        <w:t>Health Aff. (Millwood)</w:t>
      </w:r>
      <w:r w:rsidRPr="00A7455D">
        <w:t>, vol. 26, no. 6, pp. 1643–1654, Nov. 2007.</w:t>
      </w:r>
    </w:p>
    <w:p w:rsidR="00A7455D" w:rsidRPr="00A7455D" w:rsidRDefault="00A7455D" w:rsidP="00A7455D">
      <w:pPr>
        <w:pStyle w:val="Bibliography"/>
      </w:pPr>
      <w:r w:rsidRPr="00A7455D">
        <w:t>[3]</w:t>
      </w:r>
      <w:r w:rsidRPr="00A7455D">
        <w:tab/>
        <w:t xml:space="preserve">B. W. Jack, V. K. Chetty, D. Anthony, J. L. Greenwald, G. M. Sanchez, A. E. Johnson, S. R. Forsythe, J. K. O’Donnell, M. K. Paasche-Orlow, C. Manasseh, S. Martin, and L. Culpepper, “A reengineered hospital discharge program to decrease rehospitalization: a randomized trial,” </w:t>
      </w:r>
      <w:r w:rsidRPr="00A7455D">
        <w:rPr>
          <w:i/>
          <w:iCs/>
        </w:rPr>
        <w:t>Ann. Intern. Med.</w:t>
      </w:r>
      <w:r w:rsidRPr="00A7455D">
        <w:t>, vol. 150, no. 3, pp. 178–187, Feb. 2009.</w:t>
      </w:r>
    </w:p>
    <w:p w:rsidR="00A7455D" w:rsidRPr="00A7455D" w:rsidRDefault="00A7455D" w:rsidP="00A7455D">
      <w:pPr>
        <w:pStyle w:val="Bibliography"/>
      </w:pPr>
      <w:r w:rsidRPr="00A7455D">
        <w:t>[4]</w:t>
      </w:r>
      <w:r w:rsidRPr="00A7455D">
        <w:tab/>
        <w:t xml:space="preserve">D. Kansagara, H. Englander, A. Salanitro, D. Kagen, C. Theobald, M. Freeman, and S. Kripalani, </w:t>
      </w:r>
      <w:r w:rsidRPr="00A7455D">
        <w:rPr>
          <w:i/>
          <w:iCs/>
        </w:rPr>
        <w:t>Risk Prediction Models for Hospital Readmission: A Systematic Review</w:t>
      </w:r>
      <w:r w:rsidRPr="00A7455D">
        <w:t>. Washington (DC): Department of Veterans Affairs (US), 2011.</w:t>
      </w:r>
    </w:p>
    <w:p w:rsidR="00A7455D" w:rsidRPr="00A7455D" w:rsidRDefault="00A7455D" w:rsidP="00A7455D">
      <w:pPr>
        <w:pStyle w:val="Bibliography"/>
      </w:pPr>
      <w:r w:rsidRPr="00A7455D">
        <w:t>[5]</w:t>
      </w:r>
      <w:r w:rsidRPr="00A7455D">
        <w:tab/>
        <w:t xml:space="preserve">M. Kuhn and K. Johnson, </w:t>
      </w:r>
      <w:r w:rsidRPr="00A7455D">
        <w:rPr>
          <w:i/>
          <w:iCs/>
        </w:rPr>
        <w:t>Applied Predictive Modeling</w:t>
      </w:r>
      <w:r w:rsidRPr="00A7455D">
        <w:t>, 2013 edition. New York: Springer, 2013.</w:t>
      </w:r>
    </w:p>
    <w:p w:rsidR="00A7455D" w:rsidRPr="00A7455D" w:rsidRDefault="00A7455D" w:rsidP="00A7455D">
      <w:pPr>
        <w:pStyle w:val="Bibliography"/>
      </w:pPr>
      <w:r w:rsidRPr="00A7455D">
        <w:t>[6]</w:t>
      </w:r>
      <w:r w:rsidRPr="00A7455D">
        <w:tab/>
        <w:t>Northrup Grumman Corporation Information Systems, “Accountable Care Organization – Operational System (ACO-OS) Claim and Claim Line Feed (CCLF) Information Packet (IP) – June Release,” Centers for Medicare &amp; Medicaid Services, NGC.ICDA.0301.04.0.0713, Jul. 2013.</w:t>
      </w:r>
    </w:p>
    <w:p w:rsidR="00A7455D" w:rsidRPr="00A7455D" w:rsidRDefault="00A7455D" w:rsidP="00A7455D">
      <w:pPr>
        <w:pStyle w:val="Bibliography"/>
      </w:pPr>
      <w:r w:rsidRPr="00A7455D">
        <w:t>[7]</w:t>
      </w:r>
      <w:r w:rsidRPr="00A7455D">
        <w:tab/>
        <w:t xml:space="preserve">E. T. Lee, </w:t>
      </w:r>
      <w:r w:rsidRPr="00A7455D">
        <w:rPr>
          <w:i/>
          <w:iCs/>
        </w:rPr>
        <w:t>Statistical Methods for Survival Data Analysis</w:t>
      </w:r>
      <w:r w:rsidRPr="00A7455D">
        <w:t>, 3 edition. New York: Wiley-Interscience, 2003.</w:t>
      </w:r>
    </w:p>
    <w:p w:rsidR="00A7455D" w:rsidRPr="00A7455D" w:rsidRDefault="00A7455D" w:rsidP="00A7455D">
      <w:pPr>
        <w:pStyle w:val="Bibliography"/>
      </w:pPr>
      <w:r w:rsidRPr="00A7455D">
        <w:t>[8]</w:t>
      </w:r>
      <w:r w:rsidRPr="00A7455D">
        <w:tab/>
        <w:t xml:space="preserve">M. G. Akritas, “Nonparametric Survival Analysis,” </w:t>
      </w:r>
      <w:r w:rsidRPr="00A7455D">
        <w:rPr>
          <w:i/>
          <w:iCs/>
        </w:rPr>
        <w:t>Stat. Sci.</w:t>
      </w:r>
      <w:r w:rsidRPr="00A7455D">
        <w:t>, vol. 19, no. 4, pp. 615–623, Nov. 2004.</w:t>
      </w:r>
    </w:p>
    <w:p w:rsidR="00A7455D" w:rsidRPr="00A7455D" w:rsidRDefault="00A7455D" w:rsidP="00A7455D">
      <w:pPr>
        <w:pStyle w:val="Bibliography"/>
      </w:pPr>
      <w:r w:rsidRPr="00A7455D">
        <w:t>[9]</w:t>
      </w:r>
      <w:r w:rsidRPr="00A7455D">
        <w:tab/>
        <w:t xml:space="preserve">E. L. Kaplan and P. Meier, “Nonparametric Estimation from Incomplete Observations,” </w:t>
      </w:r>
      <w:r w:rsidRPr="00A7455D">
        <w:rPr>
          <w:i/>
          <w:iCs/>
        </w:rPr>
        <w:t>J. Am. Stat. Assoc.</w:t>
      </w:r>
      <w:r w:rsidRPr="00A7455D">
        <w:t>, vol. 53, no. 282, pp. 457–481, Jun. 1958.</w:t>
      </w:r>
    </w:p>
    <w:p w:rsidR="00A7455D" w:rsidRPr="00A7455D" w:rsidRDefault="00A7455D" w:rsidP="00A7455D">
      <w:pPr>
        <w:pStyle w:val="Bibliography"/>
        <w:ind w:left="720" w:hanging="720"/>
      </w:pPr>
      <w:r w:rsidRPr="00A7455D">
        <w:t>[10]</w:t>
      </w:r>
      <w:r w:rsidRPr="00A7455D">
        <w:tab/>
        <w:t xml:space="preserve">G. Cybenko, “Approximation by superpositions of a sigmoidal function,” </w:t>
      </w:r>
      <w:r w:rsidRPr="00A7455D">
        <w:rPr>
          <w:i/>
          <w:iCs/>
        </w:rPr>
        <w:t>Math. Control Signals Syst.</w:t>
      </w:r>
      <w:r w:rsidRPr="00A7455D">
        <w:t>, vol. 2, no. 4, pp. 303–314, Dec. 1989.</w:t>
      </w:r>
    </w:p>
    <w:p w:rsidR="00A7455D" w:rsidRPr="00A7455D" w:rsidRDefault="00A7455D" w:rsidP="00A7455D">
      <w:pPr>
        <w:pStyle w:val="Bibliography"/>
      </w:pPr>
      <w:r w:rsidRPr="00A7455D">
        <w:t>[11]</w:t>
      </w:r>
      <w:r w:rsidRPr="00A7455D">
        <w:tab/>
        <w:t xml:space="preserve">L. Breiman, “Random Forests,” </w:t>
      </w:r>
      <w:r w:rsidRPr="00A7455D">
        <w:rPr>
          <w:i/>
          <w:iCs/>
        </w:rPr>
        <w:t>Mach. Learn.</w:t>
      </w:r>
      <w:r w:rsidRPr="00A7455D">
        <w:t>, vol. 45, no. 1, pp. 5–32, Oct. 2001.</w:t>
      </w:r>
    </w:p>
    <w:p w:rsidR="00A7455D" w:rsidRPr="00A7455D" w:rsidRDefault="00A7455D" w:rsidP="00A7455D">
      <w:pPr>
        <w:pStyle w:val="Bibliography"/>
        <w:ind w:left="720" w:hanging="720"/>
      </w:pPr>
      <w:r w:rsidRPr="00A7455D">
        <w:t>[12]</w:t>
      </w:r>
      <w:r w:rsidRPr="00A7455D">
        <w:tab/>
        <w:t xml:space="preserve">H. Ishwaran, U. B. Kogalur, E. H. Blackstone, and M. S. Lauer, “Random Survival Forests,” </w:t>
      </w:r>
      <w:r w:rsidRPr="00A7455D">
        <w:rPr>
          <w:i/>
          <w:iCs/>
        </w:rPr>
        <w:t>Ann. Appl. Stat.</w:t>
      </w:r>
      <w:r w:rsidRPr="00A7455D">
        <w:t>, vol. 2, no. 3, pp. 841–860, Sep. 2008.</w:t>
      </w:r>
    </w:p>
    <w:p w:rsidR="00A7455D" w:rsidRPr="00A7455D" w:rsidRDefault="00A7455D" w:rsidP="00A7455D">
      <w:pPr>
        <w:pStyle w:val="Bibliography"/>
        <w:ind w:left="720" w:hanging="720"/>
      </w:pPr>
      <w:r w:rsidRPr="00A7455D">
        <w:t>[13]</w:t>
      </w:r>
      <w:r w:rsidRPr="00A7455D">
        <w:tab/>
        <w:t xml:space="preserve">U. B. Mogensen, H. Ishwaran, and T. A. Gerds, “Evaluating Random Forests for Survival Analysis Using Prediction Error Curves,” </w:t>
      </w:r>
      <w:r w:rsidRPr="00A7455D">
        <w:rPr>
          <w:i/>
          <w:iCs/>
        </w:rPr>
        <w:t>http://www.jstatsoft.org/v50/i11/paper</w:t>
      </w:r>
      <w:r w:rsidRPr="00A7455D">
        <w:t>, Sep. 2012.</w:t>
      </w:r>
    </w:p>
    <w:p w:rsidR="00A7455D" w:rsidRPr="00A7455D" w:rsidRDefault="00A7455D" w:rsidP="00A7455D">
      <w:pPr>
        <w:pStyle w:val="Bibliography"/>
        <w:ind w:left="720" w:hanging="720"/>
      </w:pPr>
      <w:r w:rsidRPr="00A7455D">
        <w:t>[14]</w:t>
      </w:r>
      <w:r w:rsidRPr="00A7455D">
        <w:tab/>
        <w:t xml:space="preserve">A. F. Hernandez, M.A. Greiner, G.C. Fonarow, B. G. Hammill, P. A. Heidenreich, C. W. Yancy, E. D. Peterson, and L. H. Curtis, “Relationship between early physician follow-up and 30-day readmission among medicare beneficiaries hospitalized for heart failure,” </w:t>
      </w:r>
      <w:r w:rsidRPr="00A7455D">
        <w:rPr>
          <w:i/>
          <w:iCs/>
        </w:rPr>
        <w:t>JAMA</w:t>
      </w:r>
      <w:r w:rsidRPr="00A7455D">
        <w:t>, vol. 303, no. 17, pp. 1716–1722, 2010.</w:t>
      </w:r>
    </w:p>
    <w:p w:rsidR="00A7455D" w:rsidRPr="00A7455D" w:rsidRDefault="00A7455D" w:rsidP="00A7455D">
      <w:pPr>
        <w:pStyle w:val="Bibliography"/>
        <w:ind w:left="720" w:hanging="720"/>
      </w:pPr>
      <w:r w:rsidRPr="00A7455D">
        <w:t>[15]</w:t>
      </w:r>
      <w:r w:rsidRPr="00A7455D">
        <w:tab/>
        <w:t xml:space="preserve">D. Peikes, A. Chen, J. Schore, and R. Brown, “Effects of care coordination on hospitalization, quality of care, and health care expenditures among medicare beneficiaries: 15 randomized trials,” </w:t>
      </w:r>
      <w:r w:rsidRPr="00A7455D">
        <w:rPr>
          <w:i/>
          <w:iCs/>
        </w:rPr>
        <w:t>JAMA</w:t>
      </w:r>
      <w:r w:rsidRPr="00A7455D">
        <w:t>, vol. 301, no. 6, pp. 603–618, 2009.</w:t>
      </w:r>
    </w:p>
    <w:p w:rsidR="00A7455D" w:rsidRPr="00A7455D" w:rsidRDefault="00A7455D" w:rsidP="00A7455D">
      <w:pPr>
        <w:pStyle w:val="Bibliography"/>
        <w:ind w:left="720" w:hanging="720"/>
      </w:pPr>
      <w:r w:rsidRPr="00A7455D">
        <w:t>[16]</w:t>
      </w:r>
      <w:r w:rsidRPr="00A7455D">
        <w:tab/>
        <w:t xml:space="preserve">R. P. Merkow, M. H. Ju, J. W. Chung, and et. al., “Underlying reasons associated with hospital readmission following surgery in the united states,” </w:t>
      </w:r>
      <w:r w:rsidRPr="00A7455D">
        <w:rPr>
          <w:i/>
          <w:iCs/>
        </w:rPr>
        <w:t>JAMA</w:t>
      </w:r>
      <w:r w:rsidRPr="00A7455D">
        <w:t>, vol. 313, no. 5, pp. 483–495, 2015.</w:t>
      </w:r>
    </w:p>
    <w:p w:rsidR="00A7455D" w:rsidRPr="00A7455D" w:rsidRDefault="00A7455D" w:rsidP="00A7455D">
      <w:pPr>
        <w:pStyle w:val="Bibliography"/>
        <w:ind w:left="720" w:hanging="720"/>
      </w:pPr>
      <w:r w:rsidRPr="00A7455D">
        <w:lastRenderedPageBreak/>
        <w:t>[17]</w:t>
      </w:r>
      <w:r w:rsidRPr="00A7455D">
        <w:tab/>
        <w:t xml:space="preserve">S. Kripalani, A. T. Jackson, J. L. Schnipper, and E. A. Coleman, “Promoting effective transitions of care at hospital discharge: A review of key issues for hospitalists,” </w:t>
      </w:r>
      <w:r w:rsidRPr="00A7455D">
        <w:rPr>
          <w:i/>
          <w:iCs/>
        </w:rPr>
        <w:t>J. Hosp. Med.</w:t>
      </w:r>
      <w:r w:rsidRPr="00A7455D">
        <w:t>, vol. 2, no. 5, pp. 314–323, Sep. 2007.</w:t>
      </w:r>
    </w:p>
    <w:p w:rsidR="00A7455D" w:rsidRPr="00A7455D" w:rsidRDefault="00A7455D" w:rsidP="00A7455D">
      <w:pPr>
        <w:pStyle w:val="Bibliography"/>
        <w:ind w:left="720" w:hanging="720"/>
      </w:pPr>
      <w:r w:rsidRPr="00A7455D">
        <w:t>[18]</w:t>
      </w:r>
      <w:r w:rsidRPr="00A7455D">
        <w:tab/>
        <w:t xml:space="preserve">A. O. Hero, J. A. Fessler, and M. Usman, “Exploring estimator bias-variance tradeoffs using the uniform CR bound,” </w:t>
      </w:r>
      <w:r w:rsidRPr="00A7455D">
        <w:rPr>
          <w:i/>
          <w:iCs/>
        </w:rPr>
        <w:t>IEEE Trans. Signal Process.</w:t>
      </w:r>
      <w:r w:rsidRPr="00A7455D">
        <w:t>, vol. 44, no. 8, pp. 2026–2041, Aug. 1996.</w:t>
      </w:r>
    </w:p>
    <w:p w:rsidR="00A7455D" w:rsidRPr="00A7455D" w:rsidRDefault="00A7455D" w:rsidP="00A7455D">
      <w:pPr>
        <w:pStyle w:val="Bibliography"/>
        <w:ind w:left="720" w:hanging="720"/>
      </w:pPr>
      <w:r w:rsidRPr="00A7455D">
        <w:t>[19]</w:t>
      </w:r>
      <w:r w:rsidRPr="00A7455D">
        <w:tab/>
        <w:t xml:space="preserve">B. Efron and R. Tibshirani, “Improvements on Cross-Validation: The .632+ Bootstrap Method,” </w:t>
      </w:r>
      <w:r w:rsidRPr="00A7455D">
        <w:rPr>
          <w:i/>
          <w:iCs/>
        </w:rPr>
        <w:t>J. Am. Stat. Assoc.</w:t>
      </w:r>
      <w:r w:rsidRPr="00A7455D">
        <w:t>, vol. 92, no. 438, pp. 548–560, Jun. 1997.</w:t>
      </w:r>
    </w:p>
    <w:p w:rsidR="00A7455D" w:rsidRPr="00A7455D" w:rsidRDefault="00A7455D" w:rsidP="00A7455D">
      <w:pPr>
        <w:pStyle w:val="Bibliography"/>
        <w:ind w:left="720" w:hanging="720"/>
      </w:pPr>
      <w:r w:rsidRPr="00A7455D">
        <w:t>[20]</w:t>
      </w:r>
      <w:r w:rsidRPr="00A7455D">
        <w:tab/>
        <w:t xml:space="preserve">J. B. Copas, “Regression, Prediction and Shrinkage,” </w:t>
      </w:r>
      <w:r w:rsidRPr="00A7455D">
        <w:rPr>
          <w:i/>
          <w:iCs/>
        </w:rPr>
        <w:t>J. R. Stat. Soc. Ser. B Methodol.</w:t>
      </w:r>
      <w:r w:rsidRPr="00A7455D">
        <w:t>, vol. 45, no. 3, pp. 311–354, Jan. 1983.</w:t>
      </w:r>
    </w:p>
    <w:p w:rsidR="00A7455D" w:rsidRPr="00A7455D" w:rsidRDefault="00A7455D" w:rsidP="00A7455D">
      <w:pPr>
        <w:pStyle w:val="Bibliography"/>
      </w:pPr>
      <w:r w:rsidRPr="00A7455D">
        <w:t>[21]</w:t>
      </w:r>
      <w:r w:rsidRPr="00A7455D">
        <w:tab/>
      </w:r>
      <w:r w:rsidRPr="00A7455D">
        <w:rPr>
          <w:i/>
          <w:iCs/>
        </w:rPr>
        <w:t>Census Block Conversions API</w:t>
      </w:r>
      <w:r w:rsidRPr="00A7455D">
        <w:t>. Federal Communications Commision, 2009.</w:t>
      </w:r>
    </w:p>
    <w:p w:rsidR="00A7455D" w:rsidRPr="00A7455D" w:rsidRDefault="00A7455D" w:rsidP="00A7455D">
      <w:pPr>
        <w:pStyle w:val="Bibliography"/>
        <w:ind w:left="720" w:hanging="720"/>
      </w:pPr>
      <w:r w:rsidRPr="00A7455D">
        <w:t>[22]</w:t>
      </w:r>
      <w:r w:rsidRPr="00A7455D">
        <w:tab/>
        <w:t>A. C. S. Office, “American Community Survey: User Notes.” [Online]. Available: http://www.census.gov/acs/www/data_documentation/user_notes/. [Accessed: 15-Mar-2015].</w:t>
      </w:r>
    </w:p>
    <w:p w:rsidR="00A7455D" w:rsidRPr="00A7455D" w:rsidRDefault="00A7455D" w:rsidP="00C37CDB">
      <w:pPr>
        <w:pStyle w:val="Bibliography"/>
        <w:ind w:left="720" w:hanging="720"/>
      </w:pPr>
      <w:r w:rsidRPr="00A7455D">
        <w:t>[23]</w:t>
      </w:r>
      <w:r w:rsidRPr="00A7455D">
        <w:tab/>
        <w:t xml:space="preserve">V. C. Raykar, H. Steck, B. Krishnapuram, and C. Dehing-oberije, </w:t>
      </w:r>
      <w:r w:rsidRPr="00A7455D">
        <w:rPr>
          <w:i/>
          <w:iCs/>
        </w:rPr>
        <w:t>On Ranking in Survival Analysis: Bounds on the Concordance Index</w:t>
      </w:r>
      <w:r w:rsidRPr="00A7455D">
        <w:t>. .</w:t>
      </w:r>
    </w:p>
    <w:p w:rsidR="00A7455D" w:rsidRPr="00A7455D" w:rsidRDefault="00A7455D" w:rsidP="00A7455D">
      <w:pPr>
        <w:pStyle w:val="Bibliography"/>
        <w:ind w:left="720" w:hanging="720"/>
      </w:pPr>
      <w:r w:rsidRPr="00A7455D">
        <w:t>[24]</w:t>
      </w:r>
      <w:r w:rsidRPr="00A7455D">
        <w:tab/>
        <w:t xml:space="preserve">J. A. Koziol and Z. Jia, “The Concordance Index C and the Mann–Whitney Parameter Pr(X&gt;Y) with Randomly Censored Data,” </w:t>
      </w:r>
      <w:r w:rsidRPr="00A7455D">
        <w:rPr>
          <w:i/>
          <w:iCs/>
        </w:rPr>
        <w:t>Biom. J.</w:t>
      </w:r>
      <w:r w:rsidRPr="00A7455D">
        <w:t>, vol. 51, no. 3, pp. 467–474, Jul. 2009.</w:t>
      </w:r>
    </w:p>
    <w:p w:rsidR="00A7455D" w:rsidRPr="00A7455D" w:rsidRDefault="00A7455D" w:rsidP="00A7455D">
      <w:pPr>
        <w:pStyle w:val="Bibliography"/>
        <w:ind w:left="720" w:hanging="720"/>
      </w:pPr>
      <w:r w:rsidRPr="00A7455D">
        <w:t>[25]</w:t>
      </w:r>
      <w:r w:rsidRPr="00A7455D">
        <w:tab/>
        <w:t xml:space="preserve">S. Kundu, Y. S. Aulchenko, C. M. van Duijn, and A. C. J. W. Janssens, “PredictABEL: an R package for the assessment of risk prediction models,” </w:t>
      </w:r>
      <w:r w:rsidRPr="00A7455D">
        <w:rPr>
          <w:i/>
          <w:iCs/>
        </w:rPr>
        <w:t>Eur. J. Epidemiol.</w:t>
      </w:r>
      <w:r w:rsidRPr="00A7455D">
        <w:t>, vol. 26, no. 4, pp. 261–264, Apr. 2011.</w:t>
      </w:r>
    </w:p>
    <w:p w:rsidR="00E634D0" w:rsidRDefault="00953785" w:rsidP="00E634D0">
      <w:pPr>
        <w:rPr>
          <w:lang w:val="en-US"/>
        </w:rPr>
      </w:pPr>
      <w:r>
        <w:rPr>
          <w:lang w:val="en-US"/>
        </w:rPr>
        <w:fldChar w:fldCharType="end"/>
      </w:r>
    </w:p>
    <w:sectPr w:rsidR="00E634D0" w:rsidSect="00271E3E">
      <w:footerReference w:type="default" r:id="rId5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59F" w:rsidRDefault="0004359F" w:rsidP="00AF2C92">
      <w:r>
        <w:separator/>
      </w:r>
    </w:p>
  </w:endnote>
  <w:endnote w:type="continuationSeparator" w:id="0">
    <w:p w:rsidR="0004359F" w:rsidRDefault="0004359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30828"/>
      <w:docPartObj>
        <w:docPartGallery w:val="Page Numbers (Bottom of Page)"/>
        <w:docPartUnique/>
      </w:docPartObj>
    </w:sdtPr>
    <w:sdtEndPr>
      <w:rPr>
        <w:noProof/>
      </w:rPr>
    </w:sdtEndPr>
    <w:sdtContent>
      <w:p w:rsidR="003D5507" w:rsidRDefault="003D5507">
        <w:pPr>
          <w:pStyle w:val="Footer"/>
          <w:jc w:val="center"/>
        </w:pPr>
        <w:r>
          <w:fldChar w:fldCharType="begin"/>
        </w:r>
        <w:r>
          <w:instrText xml:space="preserve"> PAGE   \* MERGEFORMAT </w:instrText>
        </w:r>
        <w:r>
          <w:fldChar w:fldCharType="separate"/>
        </w:r>
        <w:r w:rsidR="003B277D">
          <w:rPr>
            <w:noProof/>
          </w:rPr>
          <w:t>1</w:t>
        </w:r>
        <w:r>
          <w:rPr>
            <w:noProof/>
          </w:rPr>
          <w:fldChar w:fldCharType="end"/>
        </w:r>
      </w:p>
    </w:sdtContent>
  </w:sdt>
  <w:p w:rsidR="003D5507" w:rsidRDefault="003D5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59F" w:rsidRDefault="0004359F" w:rsidP="00AF2C92">
      <w:r>
        <w:separator/>
      </w:r>
    </w:p>
  </w:footnote>
  <w:footnote w:type="continuationSeparator" w:id="0">
    <w:p w:rsidR="0004359F" w:rsidRDefault="0004359F" w:rsidP="00AF2C92">
      <w:r>
        <w:continuationSeparator/>
      </w:r>
    </w:p>
  </w:footnote>
  <w:footnote w:id="1">
    <w:p w:rsidR="001C1E5A" w:rsidRPr="006A2174" w:rsidRDefault="001C1E5A" w:rsidP="001C1E5A">
      <w:pPr>
        <w:pStyle w:val="Figurecaption"/>
        <w:spacing w:line="240" w:lineRule="auto"/>
        <w:rPr>
          <w:lang w:val="en-US"/>
        </w:rPr>
      </w:pPr>
      <w:r>
        <w:rPr>
          <w:rStyle w:val="FootnoteReference"/>
        </w:rPr>
        <w:footnoteRef/>
      </w:r>
      <w:r>
        <w:t xml:space="preserve"> </w:t>
      </w:r>
      <w:r w:rsidRPr="0029765B">
        <w:rPr>
          <w:rStyle w:val="FootnoteChar"/>
        </w:rPr>
        <w:t>As defined here, an episode of inpatient care can be described as a contiguous period of time when a patient was treated in a specific location for a specified condition. A spell of care is a chain of related episodes in chronological order.</w:t>
      </w:r>
      <w:r w:rsidRPr="0029765B">
        <w:rPr>
          <w:sz w:val="18"/>
          <w:lang w:val="en-US"/>
        </w:rPr>
        <w:t xml:space="preserve"> </w:t>
      </w:r>
    </w:p>
  </w:footnote>
  <w:footnote w:id="2">
    <w:p w:rsidR="00844B7B" w:rsidRPr="00844B7B" w:rsidRDefault="00844B7B" w:rsidP="0029765B">
      <w:pPr>
        <w:pStyle w:val="Footnote"/>
        <w:rPr>
          <w:lang w:val="en-US"/>
        </w:rPr>
      </w:pPr>
      <w:r>
        <w:rPr>
          <w:rStyle w:val="FootnoteReference"/>
        </w:rPr>
        <w:footnoteRef/>
      </w:r>
      <w:r>
        <w:t xml:space="preserve"> </w:t>
      </w:r>
      <w:r w:rsidRPr="00844B7B">
        <w:t>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 performance of a model, or reduce the likelihood of an unfortunate selection of a poor one</w:t>
      </w:r>
    </w:p>
  </w:footnote>
  <w:footnote w:id="3">
    <w:p w:rsidR="00CF2D05" w:rsidRPr="00CF2D05" w:rsidRDefault="00CF2D05" w:rsidP="006246A8">
      <w:pPr>
        <w:pStyle w:val="FootnoteText"/>
        <w:rPr>
          <w:lang w:val="en-US"/>
        </w:rPr>
      </w:pPr>
      <w:r>
        <w:rPr>
          <w:rStyle w:val="FootnoteReference"/>
        </w:rPr>
        <w:footnoteRef/>
      </w:r>
      <w:r>
        <w:t xml:space="preserve"> </w:t>
      </w:r>
      <w:r w:rsidRPr="00CF2D05">
        <w:rPr>
          <w:rStyle w:val="FootnoteChar"/>
        </w:rPr>
        <w:t xml:space="preserve">A detailed derivation of the survival function estimation procedure used in RSF can be found in </w:t>
      </w:r>
      <w:r w:rsidRPr="004D7297">
        <w:rPr>
          <w:rStyle w:val="FootnoteChar"/>
          <w:i/>
        </w:rPr>
        <w:t>Ishwaran et. al</w:t>
      </w:r>
      <w:r w:rsidRPr="00CF2D05">
        <w:rPr>
          <w:rStyle w:val="FootnoteChar"/>
        </w:rPr>
        <w:t xml:space="preserve">. </w:t>
      </w:r>
      <w:r w:rsidRPr="00CF2D05">
        <w:rPr>
          <w:rStyle w:val="FootnoteChar"/>
        </w:rPr>
        <w:fldChar w:fldCharType="begin"/>
      </w:r>
      <w:r w:rsidR="00412F2D">
        <w:rPr>
          <w:rStyle w:val="FootnoteChar"/>
        </w:rPr>
        <w:instrText xml:space="preserve"> ADDIN ZOTERO_ITEM CSL_CITATION {"citationID":"uxohrERc","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rsidRPr="00CF2D05">
        <w:rPr>
          <w:rStyle w:val="FootnoteChar"/>
        </w:rPr>
        <w:fldChar w:fldCharType="separate"/>
      </w:r>
      <w:r w:rsidRPr="00CF2D05">
        <w:rPr>
          <w:rStyle w:val="FootnoteChar"/>
        </w:rPr>
        <w:t>[12]</w:t>
      </w:r>
      <w:r w:rsidRPr="00CF2D05">
        <w:rPr>
          <w:rStyle w:val="FootnoteChar"/>
        </w:rPr>
        <w:fldChar w:fldCharType="end"/>
      </w:r>
      <w:r w:rsidRPr="00CF2D05">
        <w:rPr>
          <w:rStyle w:val="FootnoteChar"/>
        </w:rPr>
        <w:t>.</w:t>
      </w:r>
    </w:p>
  </w:footnote>
  <w:footnote w:id="4">
    <w:p w:rsidR="006538C7" w:rsidRPr="006538C7" w:rsidRDefault="006538C7" w:rsidP="00A33A02">
      <w:pPr>
        <w:pStyle w:val="Footnote"/>
        <w:rPr>
          <w:lang w:val="en-US"/>
        </w:rPr>
      </w:pPr>
      <w:r>
        <w:rPr>
          <w:rStyle w:val="FootnoteReference"/>
        </w:rPr>
        <w:footnoteRef/>
      </w:r>
      <w:r>
        <w:t xml:space="preserve"> </w:t>
      </w:r>
      <w:r w:rsidR="00A33A02" w:rsidRPr="006538C7">
        <w:rPr>
          <w:position w:val="-6"/>
        </w:rPr>
        <w:object w:dxaOrig="420" w:dyaOrig="240">
          <v:shape id="_x0000_i1048" type="#_x0000_t75" style="width:20.25pt;height:12pt" o:ole="">
            <v:imagedata r:id="rId1" o:title=""/>
          </v:shape>
          <o:OLEObject Type="Embed" ProgID="Equation.DSMT4" ShapeID="_x0000_i1048" DrawAspect="Content" ObjectID="_1508142917" r:id="rId2"/>
        </w:object>
      </w:r>
      <w:r>
        <w:t>is not an absolute measure of remaining risk as scaling and centering operations performed during training and scoring impact the mean and variance as well as the empirical distribution of the derived survival point values. As such the values are only useful for ranking the set of patients that were scored at the same time. In the trade-off between bias and variance, ensemble methods produce more stable predictions with less variance at the cost of an increase in bias</w:t>
      </w:r>
      <w:r w:rsidR="00977053">
        <w:t xml:space="preserve"> </w:t>
      </w:r>
      <w:r w:rsidR="00977053">
        <w:fldChar w:fldCharType="begin"/>
      </w:r>
      <w:r w:rsidR="00977053">
        <w:instrText xml:space="preserve"> ADDIN ZOTERO_ITEM CSL_CITATION {"citationID":"1upa8qmfsh","properties":{"formattedCitation":"[18]","plainCitation":"[18]"},"citationItems":[{"id":1124,"uris":["http://zotero.org/users/1980127/items/VPV4CSGZ"],"uri":["http://zotero.org/users/1980127/items/VPV4CSGZ"],"itemData":{"id":1124,"type":"article-journal","title":"Exploring estimator bias-variance tradeoffs using the uniform CR bound","container-title":"IEEE Transactions on Signal Processing","page":"2026-2041","volume":"44","issue":"8","source":"IEEE Xplore","abstract":"We introduce a plane, which we call the delta-sigma plane, that is indexed by the norm of the estimator bias gradient and the variance of the estimator. The norm of the bias gradient is related to the maximum variation in the estimator bias function over a neighborhood of parameter space. Using a uniform Cramer-Rao (CR) bound on estimator variance, a delta-sigma tradeoff curve is specified that defines an “unachievable region” of the delta-sigma plane for a specified statistical model. In order to place an estimator on this plane for comparison with the delta-sigma tradeoff curve, the estimator variance, bias gradient, and bias gradient norm must be evaluated. We present a simple and accurate method for experimentally determining the bias gradient norm based on applying a bootstrap estimator to a sample mean constructed from the gradient of the log-likelihood. We demonstrate the methods developed in this paper for linear Gaussian and nonlinear Poisson inverse problems","DOI":"10.1109/78.533723","ISSN":"1053-587X","author":[{"family":"Hero","given":"A.O."},{"family":"Fessler","given":"J.A."},{"family":"Usman","given":"M."}],"issued":{"date-parts":[["1996",8]]}}}],"schema":"https://github.com/citation-style-language/schema/raw/master/csl-citation.json"} </w:instrText>
      </w:r>
      <w:r w:rsidR="00977053">
        <w:fldChar w:fldCharType="separate"/>
      </w:r>
      <w:r w:rsidR="00977053" w:rsidRPr="00977053">
        <w:t>[18]</w:t>
      </w:r>
      <w:r w:rsidR="00977053">
        <w:fldChar w:fldCharType="end"/>
      </w:r>
    </w:p>
  </w:footnote>
  <w:footnote w:id="5">
    <w:p w:rsidR="003C79D9" w:rsidRPr="003C79D9" w:rsidRDefault="003C79D9" w:rsidP="003C79D9">
      <w:pPr>
        <w:pStyle w:val="Footnote"/>
        <w:rPr>
          <w:lang w:val="en-US"/>
        </w:rPr>
      </w:pPr>
      <w:r>
        <w:rPr>
          <w:rStyle w:val="FootnoteReference"/>
        </w:rPr>
        <w:footnoteRef/>
      </w:r>
      <w:r>
        <w:t xml:space="preserve"> </w:t>
      </w:r>
      <w:r>
        <w:rPr>
          <w:lang w:val="en-US"/>
        </w:rPr>
        <w:t>Attributes may be transformed, centered or rescaled</w:t>
      </w:r>
    </w:p>
  </w:footnote>
  <w:footnote w:id="6">
    <w:p w:rsidR="009F4079" w:rsidRPr="009F4079" w:rsidRDefault="009F4079" w:rsidP="009F4079">
      <w:pPr>
        <w:pStyle w:val="Footnote"/>
        <w:rPr>
          <w:lang w:val="en-US"/>
        </w:rPr>
      </w:pPr>
      <w:r>
        <w:rPr>
          <w:rStyle w:val="FootnoteReference"/>
        </w:rPr>
        <w:footnoteRef/>
      </w:r>
      <w:r>
        <w:t xml:space="preserve"> </w:t>
      </w:r>
      <w:r>
        <w:rPr>
          <w:lang w:val="en-US"/>
        </w:rPr>
        <w:t>Straight line distance as well as driving distance (when available) was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EC0BAF"/>
    <w:multiLevelType w:val="hybridMultilevel"/>
    <w:tmpl w:val="F89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7351CE"/>
    <w:multiLevelType w:val="hybridMultilevel"/>
    <w:tmpl w:val="FEF6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1"/>
  </w:num>
  <w:num w:numId="14">
    <w:abstractNumId w:val="25"/>
  </w:num>
  <w:num w:numId="15">
    <w:abstractNumId w:val="16"/>
  </w:num>
  <w:num w:numId="16">
    <w:abstractNumId w:val="18"/>
  </w:num>
  <w:num w:numId="17">
    <w:abstractNumId w:val="11"/>
  </w:num>
  <w:num w:numId="18">
    <w:abstractNumId w:val="0"/>
  </w:num>
  <w:num w:numId="19">
    <w:abstractNumId w:val="12"/>
  </w:num>
  <w:num w:numId="20">
    <w:abstractNumId w:val="25"/>
  </w:num>
  <w:num w:numId="21">
    <w:abstractNumId w:val="25"/>
  </w:num>
  <w:num w:numId="22">
    <w:abstractNumId w:val="25"/>
  </w:num>
  <w:num w:numId="23">
    <w:abstractNumId w:val="25"/>
  </w:num>
  <w:num w:numId="24">
    <w:abstractNumId w:val="21"/>
  </w:num>
  <w:num w:numId="25">
    <w:abstractNumId w:val="22"/>
  </w:num>
  <w:num w:numId="26">
    <w:abstractNumId w:val="27"/>
  </w:num>
  <w:num w:numId="27">
    <w:abstractNumId w:val="28"/>
  </w:num>
  <w:num w:numId="28">
    <w:abstractNumId w:val="25"/>
  </w:num>
  <w:num w:numId="29">
    <w:abstractNumId w:val="15"/>
  </w:num>
  <w:num w:numId="30">
    <w:abstractNumId w:val="29"/>
  </w:num>
  <w:num w:numId="31">
    <w:abstractNumId w:val="31"/>
  </w:num>
  <w:num w:numId="32">
    <w:abstractNumId w:val="13"/>
  </w:num>
  <w:num w:numId="33">
    <w:abstractNumId w:val="20"/>
  </w:num>
  <w:num w:numId="34">
    <w:abstractNumId w:val="30"/>
  </w:num>
  <w:num w:numId="35">
    <w:abstractNumId w:val="19"/>
  </w:num>
  <w:num w:numId="36">
    <w:abstractNumId w:val="23"/>
  </w:num>
  <w:num w:numId="37">
    <w:abstractNumId w:val="1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C"/>
    <w:rsid w:val="00001899"/>
    <w:rsid w:val="00003F91"/>
    <w:rsid w:val="000049AD"/>
    <w:rsid w:val="00004EEA"/>
    <w:rsid w:val="0000681B"/>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018A"/>
    <w:rsid w:val="000427FB"/>
    <w:rsid w:val="0004359F"/>
    <w:rsid w:val="0004455E"/>
    <w:rsid w:val="00047CB5"/>
    <w:rsid w:val="00051FAA"/>
    <w:rsid w:val="00052015"/>
    <w:rsid w:val="000544E3"/>
    <w:rsid w:val="000572A9"/>
    <w:rsid w:val="00061325"/>
    <w:rsid w:val="0006142C"/>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4428"/>
    <w:rsid w:val="000A6D40"/>
    <w:rsid w:val="000A7BC3"/>
    <w:rsid w:val="000B129F"/>
    <w:rsid w:val="000B1661"/>
    <w:rsid w:val="000B1F0B"/>
    <w:rsid w:val="000B2E88"/>
    <w:rsid w:val="000B43A4"/>
    <w:rsid w:val="000B4603"/>
    <w:rsid w:val="000B5AC9"/>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284E"/>
    <w:rsid w:val="00102B8A"/>
    <w:rsid w:val="00103122"/>
    <w:rsid w:val="0010336A"/>
    <w:rsid w:val="001050F1"/>
    <w:rsid w:val="00105AEA"/>
    <w:rsid w:val="00106DAF"/>
    <w:rsid w:val="0011347A"/>
    <w:rsid w:val="00114ABE"/>
    <w:rsid w:val="00115A99"/>
    <w:rsid w:val="00116023"/>
    <w:rsid w:val="00122A3D"/>
    <w:rsid w:val="00123D50"/>
    <w:rsid w:val="0013209B"/>
    <w:rsid w:val="001331BA"/>
    <w:rsid w:val="0013356A"/>
    <w:rsid w:val="0013423F"/>
    <w:rsid w:val="00134A51"/>
    <w:rsid w:val="00137DBF"/>
    <w:rsid w:val="00140727"/>
    <w:rsid w:val="00143AF4"/>
    <w:rsid w:val="001547B7"/>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67C9"/>
    <w:rsid w:val="001A69DE"/>
    <w:rsid w:val="001A713C"/>
    <w:rsid w:val="001B1C7C"/>
    <w:rsid w:val="001B25A5"/>
    <w:rsid w:val="001B398F"/>
    <w:rsid w:val="001B46C6"/>
    <w:rsid w:val="001B4B48"/>
    <w:rsid w:val="001B4D1F"/>
    <w:rsid w:val="001B7681"/>
    <w:rsid w:val="001B7CAE"/>
    <w:rsid w:val="001C0772"/>
    <w:rsid w:val="001C0D4F"/>
    <w:rsid w:val="001C1BA3"/>
    <w:rsid w:val="001C1DEC"/>
    <w:rsid w:val="001C1E5A"/>
    <w:rsid w:val="001C5736"/>
    <w:rsid w:val="001D28CF"/>
    <w:rsid w:val="001D4011"/>
    <w:rsid w:val="001D6002"/>
    <w:rsid w:val="001D647F"/>
    <w:rsid w:val="001D6857"/>
    <w:rsid w:val="001E0572"/>
    <w:rsid w:val="001E0A67"/>
    <w:rsid w:val="001E1028"/>
    <w:rsid w:val="001E14E2"/>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42B0D"/>
    <w:rsid w:val="002467C6"/>
    <w:rsid w:val="0024692A"/>
    <w:rsid w:val="0025018D"/>
    <w:rsid w:val="00252BBA"/>
    <w:rsid w:val="00253123"/>
    <w:rsid w:val="00255B9A"/>
    <w:rsid w:val="00264001"/>
    <w:rsid w:val="00266354"/>
    <w:rsid w:val="00267A18"/>
    <w:rsid w:val="00271E3E"/>
    <w:rsid w:val="00273462"/>
    <w:rsid w:val="0027395B"/>
    <w:rsid w:val="00275854"/>
    <w:rsid w:val="00283B41"/>
    <w:rsid w:val="00285F28"/>
    <w:rsid w:val="00286398"/>
    <w:rsid w:val="0029765B"/>
    <w:rsid w:val="002A3C42"/>
    <w:rsid w:val="002A59D9"/>
    <w:rsid w:val="002A5D75"/>
    <w:rsid w:val="002B1B1A"/>
    <w:rsid w:val="002B7228"/>
    <w:rsid w:val="002B7856"/>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22A1"/>
    <w:rsid w:val="0035254B"/>
    <w:rsid w:val="00353555"/>
    <w:rsid w:val="00354A29"/>
    <w:rsid w:val="003565D4"/>
    <w:rsid w:val="003607FB"/>
    <w:rsid w:val="00360FD5"/>
    <w:rsid w:val="00362E34"/>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A1260"/>
    <w:rsid w:val="003A295F"/>
    <w:rsid w:val="003A41DD"/>
    <w:rsid w:val="003A4B18"/>
    <w:rsid w:val="003A7033"/>
    <w:rsid w:val="003B277D"/>
    <w:rsid w:val="003B47FE"/>
    <w:rsid w:val="003B48D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0DA5"/>
    <w:rsid w:val="003F193A"/>
    <w:rsid w:val="003F31A9"/>
    <w:rsid w:val="003F4207"/>
    <w:rsid w:val="003F5C46"/>
    <w:rsid w:val="003F6FDA"/>
    <w:rsid w:val="003F7CBB"/>
    <w:rsid w:val="003F7D34"/>
    <w:rsid w:val="00412C8E"/>
    <w:rsid w:val="00412F2D"/>
    <w:rsid w:val="0041518D"/>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3228"/>
    <w:rsid w:val="00463782"/>
    <w:rsid w:val="004667E0"/>
    <w:rsid w:val="0046760E"/>
    <w:rsid w:val="00470E10"/>
    <w:rsid w:val="00475A0B"/>
    <w:rsid w:val="00477A97"/>
    <w:rsid w:val="00481343"/>
    <w:rsid w:val="0048549E"/>
    <w:rsid w:val="0048569F"/>
    <w:rsid w:val="00493347"/>
    <w:rsid w:val="00496092"/>
    <w:rsid w:val="004A08DB"/>
    <w:rsid w:val="004A0E75"/>
    <w:rsid w:val="004A25D0"/>
    <w:rsid w:val="004A2F9E"/>
    <w:rsid w:val="004A37E8"/>
    <w:rsid w:val="004A50E3"/>
    <w:rsid w:val="004A7549"/>
    <w:rsid w:val="004B09D4"/>
    <w:rsid w:val="004B309D"/>
    <w:rsid w:val="004B330A"/>
    <w:rsid w:val="004B3869"/>
    <w:rsid w:val="004B7C8E"/>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5E06"/>
    <w:rsid w:val="00526454"/>
    <w:rsid w:val="00531823"/>
    <w:rsid w:val="0053185D"/>
    <w:rsid w:val="00534ECC"/>
    <w:rsid w:val="0053546E"/>
    <w:rsid w:val="0053720D"/>
    <w:rsid w:val="00540EF5"/>
    <w:rsid w:val="00541BF3"/>
    <w:rsid w:val="00541CD3"/>
    <w:rsid w:val="00543EB3"/>
    <w:rsid w:val="00544E76"/>
    <w:rsid w:val="005476FA"/>
    <w:rsid w:val="0055595E"/>
    <w:rsid w:val="00556B12"/>
    <w:rsid w:val="00557988"/>
    <w:rsid w:val="00562C49"/>
    <w:rsid w:val="00562DEF"/>
    <w:rsid w:val="0056321A"/>
    <w:rsid w:val="00563A35"/>
    <w:rsid w:val="005645F9"/>
    <w:rsid w:val="005660B8"/>
    <w:rsid w:val="00566596"/>
    <w:rsid w:val="00566C65"/>
    <w:rsid w:val="005741E9"/>
    <w:rsid w:val="005748CF"/>
    <w:rsid w:val="00580A44"/>
    <w:rsid w:val="005827E6"/>
    <w:rsid w:val="00584270"/>
    <w:rsid w:val="00584738"/>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3428"/>
    <w:rsid w:val="005D4A38"/>
    <w:rsid w:val="005E2EEA"/>
    <w:rsid w:val="005E3708"/>
    <w:rsid w:val="005E3CCD"/>
    <w:rsid w:val="005E3D6B"/>
    <w:rsid w:val="005E5B55"/>
    <w:rsid w:val="005E5E4A"/>
    <w:rsid w:val="005E693D"/>
    <w:rsid w:val="005E75BF"/>
    <w:rsid w:val="005F57BA"/>
    <w:rsid w:val="005F61E6"/>
    <w:rsid w:val="005F6C45"/>
    <w:rsid w:val="00601349"/>
    <w:rsid w:val="006053CD"/>
    <w:rsid w:val="00605A69"/>
    <w:rsid w:val="00606C54"/>
    <w:rsid w:val="006121E9"/>
    <w:rsid w:val="00614375"/>
    <w:rsid w:val="00615B0A"/>
    <w:rsid w:val="006168CF"/>
    <w:rsid w:val="0062011B"/>
    <w:rsid w:val="006203AB"/>
    <w:rsid w:val="006246A8"/>
    <w:rsid w:val="006260A1"/>
    <w:rsid w:val="00626DE0"/>
    <w:rsid w:val="00630901"/>
    <w:rsid w:val="00631F8E"/>
    <w:rsid w:val="00636EE9"/>
    <w:rsid w:val="00640334"/>
    <w:rsid w:val="00640950"/>
    <w:rsid w:val="00641AE7"/>
    <w:rsid w:val="00642629"/>
    <w:rsid w:val="0064315B"/>
    <w:rsid w:val="0064616D"/>
    <w:rsid w:val="00647C33"/>
    <w:rsid w:val="00651E58"/>
    <w:rsid w:val="00652016"/>
    <w:rsid w:val="0065293D"/>
    <w:rsid w:val="006538C7"/>
    <w:rsid w:val="00653EFC"/>
    <w:rsid w:val="00654021"/>
    <w:rsid w:val="00661045"/>
    <w:rsid w:val="00666DA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8EE"/>
    <w:rsid w:val="006A53A6"/>
    <w:rsid w:val="006A5918"/>
    <w:rsid w:val="006B21B2"/>
    <w:rsid w:val="006B285E"/>
    <w:rsid w:val="006B4A4A"/>
    <w:rsid w:val="006C19B2"/>
    <w:rsid w:val="006C5BB8"/>
    <w:rsid w:val="006C6936"/>
    <w:rsid w:val="006C757A"/>
    <w:rsid w:val="006C7B01"/>
    <w:rsid w:val="006D0FE8"/>
    <w:rsid w:val="006D4B2B"/>
    <w:rsid w:val="006D4F3C"/>
    <w:rsid w:val="006D5C66"/>
    <w:rsid w:val="006E1B3C"/>
    <w:rsid w:val="006E23FB"/>
    <w:rsid w:val="006E325A"/>
    <w:rsid w:val="006E33EC"/>
    <w:rsid w:val="006E3802"/>
    <w:rsid w:val="006E503C"/>
    <w:rsid w:val="006E6C02"/>
    <w:rsid w:val="006F231A"/>
    <w:rsid w:val="006F6B55"/>
    <w:rsid w:val="006F788D"/>
    <w:rsid w:val="006F78E1"/>
    <w:rsid w:val="00701072"/>
    <w:rsid w:val="00702054"/>
    <w:rsid w:val="007035A4"/>
    <w:rsid w:val="00710584"/>
    <w:rsid w:val="00711799"/>
    <w:rsid w:val="00712B78"/>
    <w:rsid w:val="0071393B"/>
    <w:rsid w:val="00713EE2"/>
    <w:rsid w:val="007177FC"/>
    <w:rsid w:val="00717C7D"/>
    <w:rsid w:val="00720C5E"/>
    <w:rsid w:val="0072169F"/>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499"/>
    <w:rsid w:val="00772EDA"/>
    <w:rsid w:val="00773D59"/>
    <w:rsid w:val="00781003"/>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35D"/>
    <w:rsid w:val="007D337E"/>
    <w:rsid w:val="007D730F"/>
    <w:rsid w:val="007D736D"/>
    <w:rsid w:val="007D7CD8"/>
    <w:rsid w:val="007E0A49"/>
    <w:rsid w:val="007E3AA7"/>
    <w:rsid w:val="007E6040"/>
    <w:rsid w:val="007F1AEB"/>
    <w:rsid w:val="007F737D"/>
    <w:rsid w:val="0080308E"/>
    <w:rsid w:val="0080326C"/>
    <w:rsid w:val="00805303"/>
    <w:rsid w:val="00806705"/>
    <w:rsid w:val="00806738"/>
    <w:rsid w:val="0081014B"/>
    <w:rsid w:val="00812B89"/>
    <w:rsid w:val="00815E2B"/>
    <w:rsid w:val="00816868"/>
    <w:rsid w:val="00820759"/>
    <w:rsid w:val="008216D5"/>
    <w:rsid w:val="00823EE4"/>
    <w:rsid w:val="008249CE"/>
    <w:rsid w:val="00831A50"/>
    <w:rsid w:val="00831B3C"/>
    <w:rsid w:val="00831C89"/>
    <w:rsid w:val="00832114"/>
    <w:rsid w:val="00834C46"/>
    <w:rsid w:val="0083767A"/>
    <w:rsid w:val="0084093E"/>
    <w:rsid w:val="00840BB4"/>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E35BD"/>
    <w:rsid w:val="008E387B"/>
    <w:rsid w:val="008E6087"/>
    <w:rsid w:val="008E758D"/>
    <w:rsid w:val="008F10A7"/>
    <w:rsid w:val="008F3774"/>
    <w:rsid w:val="008F755D"/>
    <w:rsid w:val="008F7A39"/>
    <w:rsid w:val="009021E8"/>
    <w:rsid w:val="00904677"/>
    <w:rsid w:val="00905EE2"/>
    <w:rsid w:val="00911440"/>
    <w:rsid w:val="00911712"/>
    <w:rsid w:val="00911B27"/>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53D4"/>
    <w:rsid w:val="009560DB"/>
    <w:rsid w:val="009673E8"/>
    <w:rsid w:val="009727A0"/>
    <w:rsid w:val="00974583"/>
    <w:rsid w:val="00974DB8"/>
    <w:rsid w:val="00977053"/>
    <w:rsid w:val="00980661"/>
    <w:rsid w:val="0098093B"/>
    <w:rsid w:val="00983D3E"/>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A77D6"/>
    <w:rsid w:val="009B0A0D"/>
    <w:rsid w:val="009B24B5"/>
    <w:rsid w:val="009B4EBC"/>
    <w:rsid w:val="009B5ABB"/>
    <w:rsid w:val="009B73CE"/>
    <w:rsid w:val="009C2461"/>
    <w:rsid w:val="009C6FE2"/>
    <w:rsid w:val="009C7674"/>
    <w:rsid w:val="009D004A"/>
    <w:rsid w:val="009D4BCF"/>
    <w:rsid w:val="009D5880"/>
    <w:rsid w:val="009D5934"/>
    <w:rsid w:val="009E1B09"/>
    <w:rsid w:val="009E1D1B"/>
    <w:rsid w:val="009E1FD4"/>
    <w:rsid w:val="009E3B07"/>
    <w:rsid w:val="009E51D1"/>
    <w:rsid w:val="009E5531"/>
    <w:rsid w:val="009E6F7F"/>
    <w:rsid w:val="009F171E"/>
    <w:rsid w:val="009F3D2F"/>
    <w:rsid w:val="009F4079"/>
    <w:rsid w:val="009F7052"/>
    <w:rsid w:val="00A02668"/>
    <w:rsid w:val="00A02801"/>
    <w:rsid w:val="00A04D5C"/>
    <w:rsid w:val="00A06A39"/>
    <w:rsid w:val="00A07D7E"/>
    <w:rsid w:val="00A07F58"/>
    <w:rsid w:val="00A131CB"/>
    <w:rsid w:val="00A14847"/>
    <w:rsid w:val="00A16D6D"/>
    <w:rsid w:val="00A179E0"/>
    <w:rsid w:val="00A21383"/>
    <w:rsid w:val="00A2199F"/>
    <w:rsid w:val="00A21B31"/>
    <w:rsid w:val="00A2360E"/>
    <w:rsid w:val="00A26E0C"/>
    <w:rsid w:val="00A32FCB"/>
    <w:rsid w:val="00A33A02"/>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68"/>
    <w:rsid w:val="00AF2C92"/>
    <w:rsid w:val="00AF35C9"/>
    <w:rsid w:val="00AF3EC1"/>
    <w:rsid w:val="00AF5025"/>
    <w:rsid w:val="00AF519F"/>
    <w:rsid w:val="00AF5387"/>
    <w:rsid w:val="00AF55F5"/>
    <w:rsid w:val="00AF7DD3"/>
    <w:rsid w:val="00AF7E86"/>
    <w:rsid w:val="00B024B9"/>
    <w:rsid w:val="00B05D80"/>
    <w:rsid w:val="00B077FA"/>
    <w:rsid w:val="00B07FDF"/>
    <w:rsid w:val="00B10B35"/>
    <w:rsid w:val="00B127D7"/>
    <w:rsid w:val="00B13B0C"/>
    <w:rsid w:val="00B1453A"/>
    <w:rsid w:val="00B20F82"/>
    <w:rsid w:val="00B253D3"/>
    <w:rsid w:val="00B25BD5"/>
    <w:rsid w:val="00B26356"/>
    <w:rsid w:val="00B26E7A"/>
    <w:rsid w:val="00B34079"/>
    <w:rsid w:val="00B3793A"/>
    <w:rsid w:val="00B401BA"/>
    <w:rsid w:val="00B407E4"/>
    <w:rsid w:val="00B425B6"/>
    <w:rsid w:val="00B42A72"/>
    <w:rsid w:val="00B441AE"/>
    <w:rsid w:val="00B45A65"/>
    <w:rsid w:val="00B45F33"/>
    <w:rsid w:val="00B46D50"/>
    <w:rsid w:val="00B522EC"/>
    <w:rsid w:val="00B53170"/>
    <w:rsid w:val="00B548B9"/>
    <w:rsid w:val="00B56DBE"/>
    <w:rsid w:val="00B62999"/>
    <w:rsid w:val="00B63913"/>
    <w:rsid w:val="00B63BE3"/>
    <w:rsid w:val="00B64885"/>
    <w:rsid w:val="00B66810"/>
    <w:rsid w:val="00B66BCB"/>
    <w:rsid w:val="00B66BDC"/>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7E69"/>
    <w:rsid w:val="00BC0E51"/>
    <w:rsid w:val="00BC3C1F"/>
    <w:rsid w:val="00BC7CE7"/>
    <w:rsid w:val="00BD295E"/>
    <w:rsid w:val="00BD4664"/>
    <w:rsid w:val="00BD7FF5"/>
    <w:rsid w:val="00BE1193"/>
    <w:rsid w:val="00BE19A2"/>
    <w:rsid w:val="00BF4849"/>
    <w:rsid w:val="00BF4EA7"/>
    <w:rsid w:val="00C00EDB"/>
    <w:rsid w:val="00C02863"/>
    <w:rsid w:val="00C0383A"/>
    <w:rsid w:val="00C067FF"/>
    <w:rsid w:val="00C06F37"/>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741E"/>
    <w:rsid w:val="00C37CDB"/>
    <w:rsid w:val="00C4069E"/>
    <w:rsid w:val="00C41ADC"/>
    <w:rsid w:val="00C44149"/>
    <w:rsid w:val="00C4439C"/>
    <w:rsid w:val="00C44410"/>
    <w:rsid w:val="00C44A15"/>
    <w:rsid w:val="00C4630A"/>
    <w:rsid w:val="00C46B15"/>
    <w:rsid w:val="00C50115"/>
    <w:rsid w:val="00C523F0"/>
    <w:rsid w:val="00C526D2"/>
    <w:rsid w:val="00C53A91"/>
    <w:rsid w:val="00C54732"/>
    <w:rsid w:val="00C5794E"/>
    <w:rsid w:val="00C60831"/>
    <w:rsid w:val="00C60968"/>
    <w:rsid w:val="00C63D39"/>
    <w:rsid w:val="00C63EDD"/>
    <w:rsid w:val="00C65B36"/>
    <w:rsid w:val="00C7049A"/>
    <w:rsid w:val="00C7292E"/>
    <w:rsid w:val="00C74E88"/>
    <w:rsid w:val="00C77FE5"/>
    <w:rsid w:val="00C80924"/>
    <w:rsid w:val="00C8286B"/>
    <w:rsid w:val="00C86683"/>
    <w:rsid w:val="00C9475C"/>
    <w:rsid w:val="00C947F8"/>
    <w:rsid w:val="00C9515F"/>
    <w:rsid w:val="00C963C5"/>
    <w:rsid w:val="00CA030C"/>
    <w:rsid w:val="00CA1F41"/>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A1B"/>
    <w:rsid w:val="00CF0E81"/>
    <w:rsid w:val="00CF19F6"/>
    <w:rsid w:val="00CF2D05"/>
    <w:rsid w:val="00CF2F4F"/>
    <w:rsid w:val="00CF536D"/>
    <w:rsid w:val="00CF65A5"/>
    <w:rsid w:val="00D00F41"/>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EFD"/>
    <w:rsid w:val="00DB3EAF"/>
    <w:rsid w:val="00DB46C6"/>
    <w:rsid w:val="00DB6392"/>
    <w:rsid w:val="00DC019E"/>
    <w:rsid w:val="00DC06DE"/>
    <w:rsid w:val="00DC3203"/>
    <w:rsid w:val="00DC3C99"/>
    <w:rsid w:val="00DC52F5"/>
    <w:rsid w:val="00DC5FD0"/>
    <w:rsid w:val="00DD0354"/>
    <w:rsid w:val="00DD1650"/>
    <w:rsid w:val="00DD27D7"/>
    <w:rsid w:val="00DD458C"/>
    <w:rsid w:val="00DD72E9"/>
    <w:rsid w:val="00DD7605"/>
    <w:rsid w:val="00DE2020"/>
    <w:rsid w:val="00DE3476"/>
    <w:rsid w:val="00DE7BEA"/>
    <w:rsid w:val="00DF076F"/>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4C48"/>
    <w:rsid w:val="00E7578A"/>
    <w:rsid w:val="00E81660"/>
    <w:rsid w:val="00E854FE"/>
    <w:rsid w:val="00E906CC"/>
    <w:rsid w:val="00E92CF9"/>
    <w:rsid w:val="00E939A0"/>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43"/>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733F5"/>
    <w:rsid w:val="00F83973"/>
    <w:rsid w:val="00F87FA3"/>
    <w:rsid w:val="00F93D8C"/>
    <w:rsid w:val="00FA3102"/>
    <w:rsid w:val="00FA48D4"/>
    <w:rsid w:val="00FA54FA"/>
    <w:rsid w:val="00FA6D39"/>
    <w:rsid w:val="00FA72F5"/>
    <w:rsid w:val="00FB227E"/>
    <w:rsid w:val="00FB3D61"/>
    <w:rsid w:val="00FB44CE"/>
    <w:rsid w:val="00FB5009"/>
    <w:rsid w:val="00FB6AC4"/>
    <w:rsid w:val="00FB76AB"/>
    <w:rsid w:val="00FD03FE"/>
    <w:rsid w:val="00FD126E"/>
    <w:rsid w:val="00FD3C36"/>
    <w:rsid w:val="00FD4D81"/>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EA180-2276-4ACF-A193-51155674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15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 w:id="2120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chart" Target="charts/chart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image" Target="media/image22.wmf"/><Relationship Id="rId8" Type="http://schemas.openxmlformats.org/officeDocument/2006/relationships/image" Target="media/image1.wmf"/><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21.wmf"/><Relationship Id="rId20" Type="http://schemas.openxmlformats.org/officeDocument/2006/relationships/image" Target="media/image7.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20.bin"/><Relationship Id="rId1" Type="http://schemas.openxmlformats.org/officeDocument/2006/relationships/image" Target="media/image19.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5t\git\UVA\ACO%20Projects\Writing\ACO%20Readmission%20Model\Concorance%20Index%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'CI Data'!$A$2</c:f>
              <c:strCache>
                <c:ptCount val="1"/>
                <c:pt idx="0">
                  <c:v>RSF</c:v>
                </c:pt>
              </c:strCache>
            </c:strRef>
          </c:tx>
          <c:marker>
            <c:symbol val="none"/>
          </c:marker>
          <c:xVal>
            <c:numRef>
              <c:f>'CI Data'!$B$1:$AE$1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'CI Data'!$B$2:$AE$2</c:f>
              <c:numCache>
                <c:formatCode>General</c:formatCode>
                <c:ptCount val="30"/>
                <c:pt idx="0">
                  <c:v>0.81</c:v>
                </c:pt>
                <c:pt idx="1">
                  <c:v>0.83</c:v>
                </c:pt>
                <c:pt idx="2">
                  <c:v>0.75</c:v>
                </c:pt>
                <c:pt idx="3">
                  <c:v>0.76</c:v>
                </c:pt>
                <c:pt idx="4">
                  <c:v>0.72</c:v>
                </c:pt>
                <c:pt idx="5">
                  <c:v>0.74</c:v>
                </c:pt>
                <c:pt idx="6">
                  <c:v>0.73</c:v>
                </c:pt>
                <c:pt idx="7">
                  <c:v>0.71</c:v>
                </c:pt>
                <c:pt idx="8">
                  <c:v>0.73</c:v>
                </c:pt>
                <c:pt idx="9">
                  <c:v>0.72</c:v>
                </c:pt>
                <c:pt idx="10">
                  <c:v>0.74</c:v>
                </c:pt>
                <c:pt idx="11">
                  <c:v>0.68</c:v>
                </c:pt>
                <c:pt idx="12">
                  <c:v>0.71</c:v>
                </c:pt>
                <c:pt idx="13">
                  <c:v>0.65</c:v>
                </c:pt>
                <c:pt idx="14">
                  <c:v>0.71</c:v>
                </c:pt>
                <c:pt idx="15">
                  <c:v>0.72</c:v>
                </c:pt>
                <c:pt idx="16">
                  <c:v>0.72</c:v>
                </c:pt>
                <c:pt idx="17">
                  <c:v>0.72</c:v>
                </c:pt>
                <c:pt idx="18">
                  <c:v>0.69</c:v>
                </c:pt>
                <c:pt idx="19">
                  <c:v>0.71</c:v>
                </c:pt>
                <c:pt idx="20">
                  <c:v>0.67</c:v>
                </c:pt>
                <c:pt idx="21">
                  <c:v>0.68</c:v>
                </c:pt>
                <c:pt idx="22">
                  <c:v>0.68</c:v>
                </c:pt>
                <c:pt idx="23">
                  <c:v>0.7</c:v>
                </c:pt>
                <c:pt idx="24">
                  <c:v>0.7</c:v>
                </c:pt>
                <c:pt idx="25">
                  <c:v>0.71</c:v>
                </c:pt>
                <c:pt idx="26">
                  <c:v>0.71</c:v>
                </c:pt>
                <c:pt idx="27">
                  <c:v>0.69</c:v>
                </c:pt>
                <c:pt idx="28">
                  <c:v>0.72250000000000003</c:v>
                </c:pt>
                <c:pt idx="29">
                  <c:v>0.71928571428571397</c:v>
                </c:pt>
              </c:numCache>
            </c:numRef>
          </c:yVal>
          <c:smooth val="1"/>
        </c:ser>
        <c:ser>
          <c:idx val="1"/>
          <c:order val="1"/>
          <c:tx>
            <c:strRef>
              <c:f>'CI Data'!$A$3</c:f>
              <c:strCache>
                <c:ptCount val="1"/>
                <c:pt idx="0">
                  <c:v>Reference</c:v>
                </c:pt>
              </c:strCache>
            </c:strRef>
          </c:tx>
          <c:marker>
            <c:symbol val="none"/>
          </c:marker>
          <c:xVal>
            <c:numRef>
              <c:f>'CI Data'!$B$1:$AE$1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'CI Data'!$B$3:$AE$3</c:f>
              <c:numCache>
                <c:formatCode>General</c:formatCode>
                <c:ptCount val="30"/>
                <c:pt idx="0">
                  <c:v>0.79</c:v>
                </c:pt>
                <c:pt idx="1">
                  <c:v>0.64</c:v>
                </c:pt>
                <c:pt idx="2">
                  <c:v>0.63</c:v>
                </c:pt>
                <c:pt idx="3">
                  <c:v>0.59</c:v>
                </c:pt>
                <c:pt idx="4">
                  <c:v>0.57999999999999996</c:v>
                </c:pt>
                <c:pt idx="5">
                  <c:v>0.56999999999999995</c:v>
                </c:pt>
                <c:pt idx="6">
                  <c:v>0.57999999999999996</c:v>
                </c:pt>
                <c:pt idx="7">
                  <c:v>0.55000000000000004</c:v>
                </c:pt>
                <c:pt idx="8">
                  <c:v>0.5</c:v>
                </c:pt>
                <c:pt idx="9">
                  <c:v>0.53</c:v>
                </c:pt>
                <c:pt idx="10">
                  <c:v>0.55000000000000004</c:v>
                </c:pt>
                <c:pt idx="11">
                  <c:v>0.48</c:v>
                </c:pt>
                <c:pt idx="12">
                  <c:v>0.48</c:v>
                </c:pt>
                <c:pt idx="13">
                  <c:v>0.51</c:v>
                </c:pt>
                <c:pt idx="14">
                  <c:v>0.52</c:v>
                </c:pt>
                <c:pt idx="15">
                  <c:v>0.52</c:v>
                </c:pt>
                <c:pt idx="16">
                  <c:v>0.53</c:v>
                </c:pt>
                <c:pt idx="17">
                  <c:v>0.49</c:v>
                </c:pt>
                <c:pt idx="18">
                  <c:v>0.48</c:v>
                </c:pt>
                <c:pt idx="19">
                  <c:v>0.5</c:v>
                </c:pt>
                <c:pt idx="20">
                  <c:v>0.51</c:v>
                </c:pt>
                <c:pt idx="21">
                  <c:v>0.5</c:v>
                </c:pt>
                <c:pt idx="22">
                  <c:v>0.5</c:v>
                </c:pt>
                <c:pt idx="23">
                  <c:v>0.47</c:v>
                </c:pt>
                <c:pt idx="24">
                  <c:v>0.51</c:v>
                </c:pt>
                <c:pt idx="25">
                  <c:v>0.5</c:v>
                </c:pt>
                <c:pt idx="26">
                  <c:v>0.51</c:v>
                </c:pt>
                <c:pt idx="27">
                  <c:v>0.51</c:v>
                </c:pt>
                <c:pt idx="28">
                  <c:v>0.51</c:v>
                </c:pt>
                <c:pt idx="29">
                  <c:v>0.51</c:v>
                </c:pt>
              </c:numCache>
            </c:numRef>
          </c:yVal>
          <c:smooth val="1"/>
        </c:ser>
        <c:dLbls>
          <c:showLegendKey val="0"/>
          <c:showVal val="0"/>
          <c:showCatName val="0"/>
          <c:showSerName val="0"/>
          <c:showPercent val="0"/>
          <c:showBubbleSize val="0"/>
        </c:dLbls>
        <c:axId val="397878560"/>
        <c:axId val="397876880"/>
      </c:scatterChart>
      <c:valAx>
        <c:axId val="397878560"/>
        <c:scaling>
          <c:orientation val="minMax"/>
          <c:max val="30"/>
          <c:min val="1"/>
        </c:scaling>
        <c:delete val="0"/>
        <c:axPos val="b"/>
        <c:majorGridlines/>
        <c:minorGridlines/>
        <c:title>
          <c:tx>
            <c:rich>
              <a:bodyPr/>
              <a:lstStyle/>
              <a:p>
                <a:pPr>
                  <a:defRPr/>
                </a:pPr>
                <a:r>
                  <a:rPr lang="en-US"/>
                  <a:t>Days Post</a:t>
                </a:r>
                <a:r>
                  <a:rPr lang="en-US" baseline="0"/>
                  <a:t> Discharge</a:t>
                </a:r>
                <a:endParaRPr lang="en-US"/>
              </a:p>
            </c:rich>
          </c:tx>
          <c:overlay val="0"/>
        </c:title>
        <c:numFmt formatCode="General" sourceLinked="1"/>
        <c:majorTickMark val="out"/>
        <c:minorTickMark val="none"/>
        <c:tickLblPos val="nextTo"/>
        <c:crossAx val="397876880"/>
        <c:crosses val="autoZero"/>
        <c:crossBetween val="midCat"/>
      </c:valAx>
      <c:valAx>
        <c:axId val="397876880"/>
        <c:scaling>
          <c:orientation val="minMax"/>
          <c:max val="1"/>
          <c:min val="0"/>
        </c:scaling>
        <c:delete val="0"/>
        <c:axPos val="l"/>
        <c:majorGridlines/>
        <c:minorGridlines/>
        <c:title>
          <c:tx>
            <c:rich>
              <a:bodyPr/>
              <a:lstStyle/>
              <a:p>
                <a:pPr>
                  <a:defRPr/>
                </a:pPr>
                <a:r>
                  <a:rPr lang="en-US"/>
                  <a:t>Concordance Index</a:t>
                </a:r>
              </a:p>
            </c:rich>
          </c:tx>
          <c:overlay val="0"/>
        </c:title>
        <c:numFmt formatCode="General" sourceLinked="1"/>
        <c:majorTickMark val="out"/>
        <c:minorTickMark val="none"/>
        <c:tickLblPos val="nextTo"/>
        <c:crossAx val="3978785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2E43C-0294-421B-ADEE-0158A9D8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1</TotalTime>
  <Pages>12</Pages>
  <Words>13298</Words>
  <Characters>75803</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88924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2</cp:revision>
  <cp:lastPrinted>2015-03-16T11:29:00Z</cp:lastPrinted>
  <dcterms:created xsi:type="dcterms:W3CDTF">2015-11-04T16:48:00Z</dcterms:created>
  <dcterms:modified xsi:type="dcterms:W3CDTF">2015-11-04T16:48:00Z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id="aFWKEbSA"/&gt;&lt;style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