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Delivery Project Manager with experience across non-profit, consulting, and SaaS environments. Upper-junior / early-mid operator trusted with end-to-end delivery, governance, and stakeholder coordination in constrained, multi-party settings. Known for protecting timelines, stabilising delivery, and translating ambiguity into structured execution.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Delivery Snapshot</w:t>
      </w:r>
      <w:r w:rsidDel="00000000" w:rsidR="00000000" w:rsidRPr="00000000">
        <w:rPr>
          <w:sz w:val="21"/>
          <w:szCs w:val="21"/>
          <w:rtl w:val="0"/>
        </w:rPr>
        <w:t xml:space="preserve">: NPO, Consulting, SaaS | Vendor-led, Stakeholder-heavy programmes | Governance under ambiguity, delivery discipline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spacing w:after="0" w:before="0" w:line="24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Skills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Delivery &amp; Governance: End-to-end coordination, change control, RAID, Agile / Waterfall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Operations &amp; Reporting: PMO discipline, workflow stabilisation, financial dashboards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Stakeholders: Board reporting, donors / clients, cross-functional teams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Tools: Jira, Trello, Lark, Google Workspace; AI tools used selectively to improve reporting accuracy and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Manager (Scholarship Programme) – Fugee.org (Liberty To Learn Sdn. Bhd.)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spacing w:after="0" w:before="0"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Kuala Lumpur | Dec 2024 – Jun 2025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a 5-year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delivery plan</w:t>
      </w:r>
      <w:r w:rsidDel="00000000" w:rsidR="00000000" w:rsidRPr="00000000">
        <w:rPr>
          <w:sz w:val="21"/>
          <w:szCs w:val="21"/>
          <w:rtl w:val="0"/>
        </w:rPr>
        <w:t xml:space="preserve"> endorsed by leadership, setting direction for programmes supporting 500+ refugee youth.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a financial dashboard consolidating fragmented data into clear cashflow visibility and multi-year fundraising targets, enabling board-level decisions.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Prioritised donor diversification over short-term scale by piloting crowdfunding, validating an alternative funding channel (£1,600 raised).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Expanded outreach beyond Klang Valley, engaging 100+ youth and generating 20+ applications, meeting M&amp;E equity targets.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Streamlined application and selection workflows to reduce cycle time and improve transparency for applicants and donors.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Produced board and public-facing reports to sustain stakeholder confidence and funding discussions.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Associate Consultant – EASY Consulting Sdn. Bhd.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spacing w:after="0" w:before="0"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Kuala Lumpur | Apr 2024 – Dec 2024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Authored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Bursa-compliant ESG statement</w:t>
      </w:r>
      <w:r w:rsidDel="00000000" w:rsidR="00000000" w:rsidRPr="00000000">
        <w:rPr>
          <w:sz w:val="21"/>
          <w:szCs w:val="21"/>
          <w:rtl w:val="0"/>
        </w:rPr>
        <w:t xml:space="preserve"> for a publicly listed Malaysian company, accepted without revisions and published in the 2024 Annual Report, meeting board and regulatory expectations on first submission.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2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Coordinated ESG data collection across multiple subsidiaries under fixed Bursa reporting deadlines, resolving delays and stabilising submissions in a regulated reporting environment.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Delivered an HR policy for a multinational healthcare manufacturing group during a leadership transition, standardising compensation and recruitment practices across jurisdictions and reducing ambiguity during organisational change.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Analysed engagement data from 650 staff for a foreign national organisation, translating survey results into practical recommendations that directly informed its 2025 organisational strategy.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a sustainability data collection framework delivered two months ahead of schedule, reducing future reporting risk and improving repeatability for subsequent reporting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Manager – Blackdot Sdn. Bhd.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spacing w:after="0" w:before="0"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Kuala Lumpur | Dec 2022 – Dec 2023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Coordinated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SaaS delivery</w:t>
      </w:r>
      <w:r w:rsidDel="00000000" w:rsidR="00000000" w:rsidRPr="00000000">
        <w:rPr>
          <w:sz w:val="21"/>
          <w:szCs w:val="21"/>
          <w:rtl w:val="0"/>
        </w:rPr>
        <w:t xml:space="preserve"> across four phases with three vendor teams (technology, payments, infrastructure).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Introduced a change-request validation process that prevented scope creep and protected delivery timelines.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3"/>
        </w:numPr>
        <w:spacing w:after="0" w:before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Maintained delivery discipline through milestone tracking, escalation, and structured stakeholder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Education &amp; Certifications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Sunway University – BSc Marketing (101 credits)</w:t>
        <w:br w:type="textWrapping"/>
        <w:t xml:space="preserve">Google PM Certification (Coursera)| Decision Intelligence (LinkedIn Learning) | Introduction to Data Science (LEAD)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spacing w:after="0" w:before="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Languages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English (Native) | Malay (Professional) | Arabic, Mandarin, Tamil (Conversational)</w:t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5840" w:w="12240" w:orient="portrait"/>
      <w:pgMar w:bottom="720.0000000000001" w:top="720.0000000000001" w:left="720.0000000000001" w:right="720.0000000000001" w:header="283.4645669291338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>
        <w:rFonts w:ascii="Tahoma" w:cs="Tahoma" w:eastAsia="Tahoma" w:hAnsi="Tahoma"/>
        <w:b w:val="1"/>
        <w:bCs w:val="1"/>
        <w:sz w:val="24"/>
        <w:szCs w:val="24"/>
      </w:rPr>
    </w:pPr>
    <w:r w:rsidDel="00000000" w:rsidR="00000000" w:rsidRPr="00000000">
      <w:rPr>
        <w:rFonts w:ascii="Tahoma" w:cs="Tahoma" w:eastAsia="Tahoma" w:hAnsi="Tahoma"/>
        <w:b w:val="1"/>
        <w:bCs w:val="1"/>
        <w:sz w:val="24"/>
        <w:szCs w:val="24"/>
        <w:rtl w:val="0"/>
      </w:rPr>
      <w:t xml:space="preserve">Ahamad Suhail Abdul Malick</w:t>
    </w:r>
  </w:p>
  <w:p w:rsidR="00000000" w:rsidDel="00000000" w:rsidP="00000000" w:rsidRDefault="00000000" w:rsidRPr="00000000" w14:paraId="00000028">
    <w:pPr>
      <w:jc w:val="center"/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Ilford, IG1 3LZ | </w:t>
    </w:r>
    <w:hyperlink r:id="rId1">
      <w:r w:rsidDel="00000000" w:rsidR="00000000" w:rsidRPr="00000000">
        <w:rPr>
          <w:rFonts w:ascii="Tahoma" w:cs="Tahoma" w:eastAsia="Tahoma" w:hAnsi="Tahoma"/>
          <w:color w:val="1155cc"/>
          <w:sz w:val="20"/>
          <w:szCs w:val="20"/>
          <w:u w:val="single"/>
          <w:rtl w:val="0"/>
        </w:rPr>
        <w:t xml:space="preserve">sahl.aboobakar@gmail.com</w:t>
      </w:r>
    </w:hyperlink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Tahoma" w:cs="Tahoma" w:eastAsia="Tahoma" w:hAnsi="Tahoma"/>
          <w:color w:val="1155cc"/>
          <w:sz w:val="20"/>
          <w:szCs w:val="20"/>
          <w:u w:val="single"/>
          <w:rtl w:val="0"/>
        </w:rPr>
        <w:t xml:space="preserve">linkedin.com/in/ahamadsuhail</w:t>
      </w:r>
    </w:hyperlink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 | 07835 345 969</w:t>
    </w:r>
  </w:p>
  <w:p w:rsidR="00000000" w:rsidDel="00000000" w:rsidP="00000000" w:rsidRDefault="00000000" w:rsidRPr="00000000" w14:paraId="00000029">
    <w:pPr>
      <w:jc w:val="center"/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Right to Work: Eligible to work in the UK (Share code available on request)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sahl.aboobakar@gmail.com" TargetMode="External"/><Relationship Id="rId2" Type="http://schemas.openxmlformats.org/officeDocument/2006/relationships/hyperlink" Target="http://linkedin.com/in/ahamadsuh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