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Guilherme</w:t>
      </w:r>
      <w:r>
        <w:t xml:space="preserve"> </w:t>
      </w:r>
      <w:r>
        <w:t xml:space="preserve">Oliveira</w:t>
      </w:r>
      <w:r>
        <w:t xml:space="preserve"> </w:t>
      </w:r>
      <w:r>
        <w:t xml:space="preserve">Casagrande</w:t>
      </w:r>
    </w:p>
    <w:p>
      <w:pPr>
        <w:pStyle w:val="Date"/>
      </w:pPr>
      <w:r>
        <w:t xml:space="preserve">2023-12-04</w:t>
      </w:r>
    </w:p>
    <w:bookmarkStart w:id="20" w:name="análise-dos-dados-coletados"/>
    <w:p>
      <w:pPr>
        <w:pStyle w:val="Heading2"/>
      </w:pPr>
      <w:r>
        <w:t xml:space="preserve">Análise dos dados coletados</w:t>
      </w:r>
    </w:p>
    <w:p>
      <w:pPr>
        <w:pStyle w:val="FirstParagraph"/>
      </w:pPr>
      <w:r>
        <w:t xml:space="preserve">O processo de raspagem de dados foi implementado em Python, fazendo uso de</w:t>
      </w:r>
      <w:r>
        <w:t xml:space="preserve"> </w:t>
      </w:r>
      <w:r>
        <w:t xml:space="preserve">bibliotecas como Selenium para interação com páginas web dinâmicas, FastAPI para a</w:t>
      </w:r>
      <w:r>
        <w:t xml:space="preserve"> </w:t>
      </w:r>
      <w:r>
        <w:t xml:space="preserve">criação de uma API que recebe e armazena dados, e MySQL para o armazenamento em um</w:t>
      </w:r>
      <w:r>
        <w:t xml:space="preserve"> </w:t>
      </w:r>
      <w:r>
        <w:t xml:space="preserve">banco de dados. A coleta de dados envolveu a navegação pelo site de imóveis Vivareal,</w:t>
      </w:r>
      <w:r>
        <w:t xml:space="preserve"> </w:t>
      </w:r>
      <w:r>
        <w:t xml:space="preserve">extração de informações importantes sobre os imóveis de suas páginas, e posterior</w:t>
      </w:r>
      <w:r>
        <w:t xml:space="preserve"> </w:t>
      </w:r>
      <w:r>
        <w:t xml:space="preserve">armazenamento em um banco de dados para análise posterior.</w:t>
      </w:r>
    </w:p>
    <w:p>
      <w:pPr>
        <w:pStyle w:val="BodyText"/>
      </w:pPr>
      <w:r>
        <w:t xml:space="preserve">A avaliação da raspagem de dados revelou algumas considerações importantes para a</w:t>
      </w:r>
      <w:r>
        <w:t xml:space="preserve"> </w:t>
      </w:r>
      <w:r>
        <w:t xml:space="preserve">qualidade e aplicabilidade dos dados coletados. Inicialmente, ao raspar dados dos sites Lopes</w:t>
      </w:r>
      <w:r>
        <w:t xml:space="preserve"> </w:t>
      </w:r>
      <w:r>
        <w:t xml:space="preserve">Imóveis e Vivareal, ficou evidente que a porcentagem da amostra resultante utilizável para o</w:t>
      </w:r>
      <w:r>
        <w:t xml:space="preserve"> </w:t>
      </w:r>
      <w:r>
        <w:t xml:space="preserve">intuito do projeto era significativamente pequena, especialmente devido à inadequação dos</w:t>
      </w:r>
      <w:r>
        <w:t xml:space="preserve"> </w:t>
      </w:r>
      <w:r>
        <w:t xml:space="preserve">dados provenientes do site Lopes Imóveis para utilização efetiva em nosso projeto. Diante</w:t>
      </w:r>
      <w:r>
        <w:t xml:space="preserve"> </w:t>
      </w:r>
      <w:r>
        <w:t xml:space="preserve">desse desafio, reconhecemos a necessidade de explorar mais fontes de dados para enriquecer</w:t>
      </w:r>
      <w:r>
        <w:t xml:space="preserve"> </w:t>
      </w:r>
      <w:r>
        <w:t xml:space="preserve">a amostra.</w:t>
      </w:r>
    </w:p>
    <w:p>
      <w:pPr>
        <w:pStyle w:val="BodyText"/>
      </w:pPr>
      <w:r>
        <w:t xml:space="preserve">Além disso, observamos que, para um projeto mais abrangente e informativo, teria sido</w:t>
      </w:r>
      <w:r>
        <w:t xml:space="preserve"> </w:t>
      </w:r>
      <w:r>
        <w:t xml:space="preserve">interessante explorar um tema que envolvesse mais variáveis manipuláveis. A ampliação do</w:t>
      </w:r>
      <w:r>
        <w:t xml:space="preserve"> </w:t>
      </w:r>
      <w:r>
        <w:t xml:space="preserve">escopo permitiria uma análise mais completa e a identificação de padrões mais sutis no</w:t>
      </w:r>
      <w:r>
        <w:t xml:space="preserve"> </w:t>
      </w:r>
      <w:r>
        <w:t xml:space="preserve">mercado imobiliário de luxo em São Paulo.</w:t>
      </w:r>
    </w:p>
    <w:p>
      <w:pPr>
        <w:pStyle w:val="BodyText"/>
      </w:pPr>
      <w:r>
        <w:t xml:space="preserve">Uma constatação relevante foi a predominância de dados relacionados a galpões,</w:t>
      </w:r>
      <w:r>
        <w:t xml:space="preserve"> </w:t>
      </w:r>
      <w:r>
        <w:t xml:space="preserve">pontos comerciais, terrenos e fazendas, constituindo a maioria da amostra coletada. Esse</w:t>
      </w:r>
      <w:r>
        <w:t xml:space="preserve"> </w:t>
      </w:r>
      <w:r>
        <w:t xml:space="preserve">excesso de dados em categorias específicas, especialmente galpões, pontos comerciais e</w:t>
      </w:r>
      <w:r>
        <w:t xml:space="preserve"> </w:t>
      </w:r>
      <w:r>
        <w:t xml:space="preserve">fazendas, levou à exclusão de metade da amostra, uma vez que esses tipos de propriedades</w:t>
      </w:r>
      <w:r>
        <w:t xml:space="preserve"> </w:t>
      </w:r>
      <w:r>
        <w:t xml:space="preserve">não atendiam ao propósito central do projeto. Reconhecemos que, em futuras raspagens, seria</w:t>
      </w:r>
      <w:r>
        <w:t xml:space="preserve"> </w:t>
      </w:r>
      <w:r>
        <w:t xml:space="preserve">fundamental implementar limites mais precisos para evitar a inclusão excessiva de categorias</w:t>
      </w:r>
      <w:r>
        <w:t xml:space="preserve"> </w:t>
      </w:r>
      <w:r>
        <w:t xml:space="preserve">que não contribuem significativamente para os objetivos do projeto.</w:t>
      </w:r>
    </w:p>
    <w:bookmarkEnd w:id="20"/>
    <w:bookmarkStart w:id="21" w:name="Xfdd4d733e6ca6ed10728a584f3893ead2e423b7"/>
    <w:p>
      <w:pPr>
        <w:pStyle w:val="Heading2"/>
      </w:pPr>
      <w:r>
        <w:t xml:space="preserve">Descrição dos dados e variáveis coletadas</w:t>
      </w:r>
    </w:p>
    <w:p>
      <w:pPr>
        <w:numPr>
          <w:ilvl w:val="0"/>
          <w:numId w:val="1001"/>
        </w:numPr>
        <w:pStyle w:val="Compact"/>
      </w:pPr>
      <w:r>
        <w:t xml:space="preserve">ID Único: Um identificador único atribuído a cada entrada no conjunto de dados,</w:t>
      </w:r>
      <w:r>
        <w:t xml:space="preserve"> </w:t>
      </w:r>
      <w:r>
        <w:t xml:space="preserve">garantindo a distinção entre diferentes registros.</w:t>
      </w:r>
    </w:p>
    <w:p>
      <w:pPr>
        <w:numPr>
          <w:ilvl w:val="0"/>
          <w:numId w:val="1001"/>
        </w:numPr>
        <w:pStyle w:val="Compact"/>
      </w:pPr>
      <w:r>
        <w:t xml:space="preserve">Fonte (Site Vivareal e Lopes Imóveis): A indicação da fonte dos dados, que é o site</w:t>
      </w:r>
      <w:r>
        <w:t xml:space="preserve"> </w:t>
      </w:r>
      <w:r>
        <w:t xml:space="preserve">de imóveis Vivareal, esclarecendo a origem das informações.</w:t>
      </w:r>
    </w:p>
    <w:p>
      <w:pPr>
        <w:numPr>
          <w:ilvl w:val="0"/>
          <w:numId w:val="1001"/>
        </w:numPr>
        <w:pStyle w:val="Compact"/>
      </w:pPr>
      <w:r>
        <w:t xml:space="preserve">Número de Dormitórios, Banheiros e Vagas (separadamente): Informações sobre a</w:t>
      </w:r>
      <w:r>
        <w:t xml:space="preserve"> </w:t>
      </w:r>
      <w:r>
        <w:t xml:space="preserve">quantidade de dormitórios, banheiros e vagas de garagem, detalhando a configuração</w:t>
      </w:r>
      <w:r>
        <w:t xml:space="preserve"> </w:t>
      </w:r>
      <w:r>
        <w:t xml:space="preserve">interna da propriedade.</w:t>
      </w:r>
    </w:p>
    <w:p>
      <w:pPr>
        <w:numPr>
          <w:ilvl w:val="0"/>
          <w:numId w:val="1001"/>
        </w:numPr>
        <w:pStyle w:val="Compact"/>
      </w:pPr>
      <w:r>
        <w:t xml:space="preserve">Preço: O valor monetário associado a cada propriedade, refletindo o preço de venda</w:t>
      </w:r>
      <w:r>
        <w:t xml:space="preserve"> </w:t>
      </w:r>
      <w:r>
        <w:t xml:space="preserve">ou locação.</w:t>
      </w:r>
    </w:p>
    <w:p>
      <w:pPr>
        <w:numPr>
          <w:ilvl w:val="0"/>
          <w:numId w:val="1001"/>
        </w:numPr>
        <w:pStyle w:val="Compact"/>
      </w:pPr>
      <w:r>
        <w:t xml:space="preserve">Área Total: A medida em metros quadrados representa a área total da propriedade,</w:t>
      </w:r>
      <w:r>
        <w:t xml:space="preserve"> </w:t>
      </w:r>
      <w:r>
        <w:t xml:space="preserve">fornecendo uma indicação do tamanho físico do imóvel.</w:t>
      </w:r>
    </w:p>
    <w:p>
      <w:pPr>
        <w:numPr>
          <w:ilvl w:val="0"/>
          <w:numId w:val="1001"/>
        </w:numPr>
        <w:pStyle w:val="Compact"/>
      </w:pPr>
      <w:r>
        <w:t xml:space="preserve">Endereço Completo: O endereço completo, incluindo rua, número, bairro, cidade e</w:t>
      </w:r>
      <w:r>
        <w:t xml:space="preserve"> </w:t>
      </w:r>
      <w:r>
        <w:t xml:space="preserve">estado, permitindo uma localização precisa da propriedade.</w:t>
      </w:r>
    </w:p>
    <w:p>
      <w:pPr>
        <w:numPr>
          <w:ilvl w:val="0"/>
          <w:numId w:val="1001"/>
        </w:numPr>
        <w:pStyle w:val="Compact"/>
      </w:pPr>
      <w:r>
        <w:t xml:space="preserve">Bairro Específico:O bairro específico destaca a região na qual a propriedade está</w:t>
      </w:r>
      <w:r>
        <w:t xml:space="preserve"> </w:t>
      </w:r>
      <w:r>
        <w:t xml:space="preserve">situada.</w:t>
      </w:r>
    </w:p>
    <w:p>
      <w:pPr>
        <w:numPr>
          <w:ilvl w:val="0"/>
          <w:numId w:val="1001"/>
        </w:numPr>
        <w:pStyle w:val="Compact"/>
      </w:pPr>
      <w:r>
        <w:t xml:space="preserve">Tipo do Imóvel: A classificação do imóvel, indicando se é uma casa, apartamento,</w:t>
      </w:r>
      <w:r>
        <w:t xml:space="preserve"> </w:t>
      </w:r>
      <w:r>
        <w:t xml:space="preserve">terreno, prédio, ou outra categoria específica.</w:t>
      </w:r>
    </w:p>
    <w:p>
      <w:pPr>
        <w:numPr>
          <w:ilvl w:val="0"/>
          <w:numId w:val="1001"/>
        </w:numPr>
        <w:pStyle w:val="Compact"/>
      </w:pPr>
      <w:r>
        <w:t xml:space="preserve">Latitude e Longitude do Imóvel (separadamente): As coordenadas geográficas que</w:t>
      </w:r>
      <w:r>
        <w:t xml:space="preserve"> </w:t>
      </w:r>
      <w:r>
        <w:t xml:space="preserve">representam a localização exata da propriedade no mapa, possibilitando análises</w:t>
      </w:r>
      <w:r>
        <w:t xml:space="preserve"> </w:t>
      </w:r>
      <w:r>
        <w:t xml:space="preserve">espaciais e visualizações em sistemas de mapeamento.</w:t>
      </w:r>
    </w:p>
    <w:bookmarkEnd w:id="21"/>
    <w:bookmarkStart w:id="25" w:name="regressão-linear"/>
    <w:p>
      <w:pPr>
        <w:pStyle w:val="Heading2"/>
      </w:pPr>
      <w:r>
        <w:t xml:space="preserve">Regressão linear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ocumento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VIF com todas as variáveis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VIF com todas as variávei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total.area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dorms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toilets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6.75</w:t>
            </w:r>
          </w:p>
        </w:tc>
      </w:tr>
    </w:tbl>
    <w:p/>
    <w:p>
      <w:pPr>
        <w:pStyle w:val="TableCaption"/>
      </w:pPr>
      <w:r>
        <w:t xml:space="preserve">VIF sem toilets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VIF sem toilet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total.area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dorms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2.73</w:t>
            </w:r>
          </w:p>
        </w:tc>
      </w:tr>
    </w:tbl>
    <w:bookmarkEnd w:id="25"/>
    <w:bookmarkStart w:id="26" w:name="stepaic"/>
    <w:p>
      <w:pPr>
        <w:pStyle w:val="Heading2"/>
      </w:pPr>
      <w:r>
        <w:t xml:space="preserve">StepAIC</w:t>
      </w:r>
    </w:p>
    <w:p>
      <w:pPr>
        <w:pStyle w:val="SourceCode"/>
      </w:pPr>
      <w:r>
        <w:rPr>
          <w:rStyle w:val="VerbatimChar"/>
        </w:rPr>
        <w:t xml:space="preserve">## Start:  AIC=811.19</w:t>
      </w:r>
      <w:r>
        <w:br/>
      </w:r>
      <w:r>
        <w:rPr>
          <w:rStyle w:val="VerbatimChar"/>
        </w:rPr>
        <w:t xml:space="preserve">## price ~ total.area + dorms + parking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 Sum of Sq        RSS    AIC</w:t>
      </w:r>
      <w:r>
        <w:br/>
      </w:r>
      <w:r>
        <w:rPr>
          <w:rStyle w:val="VerbatimChar"/>
        </w:rPr>
        <w:t xml:space="preserve">## - parking     1 2.2773e+13 2.2652e+15 809.44</w:t>
      </w:r>
      <w:r>
        <w:br/>
      </w:r>
      <w:r>
        <w:rPr>
          <w:rStyle w:val="VerbatimChar"/>
        </w:rPr>
        <w:t xml:space="preserve">## - dorms       1 7.0208e+13 2.3126e+15 809.96</w:t>
      </w:r>
      <w:r>
        <w:br/>
      </w:r>
      <w:r>
        <w:rPr>
          <w:rStyle w:val="VerbatimChar"/>
        </w:rPr>
        <w:t xml:space="preserve">## &lt;none&gt;                     2.2424e+15 811.19</w:t>
      </w:r>
      <w:r>
        <w:br/>
      </w:r>
      <w:r>
        <w:rPr>
          <w:rStyle w:val="VerbatimChar"/>
        </w:rPr>
        <w:t xml:space="preserve">## - total.area  1 1.1781e+15 3.4206e+15 819.74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AIC=809.44</w:t>
      </w:r>
      <w:r>
        <w:br/>
      </w:r>
      <w:r>
        <w:rPr>
          <w:rStyle w:val="VerbatimChar"/>
        </w:rPr>
        <w:t xml:space="preserve">## price ~ total.area + dorms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 Sum of Sq        RSS    AIC</w:t>
      </w:r>
      <w:r>
        <w:br/>
      </w:r>
      <w:r>
        <w:rPr>
          <w:rStyle w:val="VerbatimChar"/>
        </w:rPr>
        <w:t xml:space="preserve">## - dorms       1 8.4180e+13 2.3494e+15 808.35</w:t>
      </w:r>
      <w:r>
        <w:br/>
      </w:r>
      <w:r>
        <w:rPr>
          <w:rStyle w:val="VerbatimChar"/>
        </w:rPr>
        <w:t xml:space="preserve">## &lt;none&gt;                     2.2652e+15 809.44</w:t>
      </w:r>
      <w:r>
        <w:br/>
      </w:r>
      <w:r>
        <w:rPr>
          <w:rStyle w:val="VerbatimChar"/>
        </w:rPr>
        <w:t xml:space="preserve">## - total.area  1 3.9068e+15 6.1720e+15 832.50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AIC=808.35</w:t>
      </w:r>
      <w:r>
        <w:br/>
      </w:r>
      <w:r>
        <w:rPr>
          <w:rStyle w:val="VerbatimChar"/>
        </w:rPr>
        <w:t xml:space="preserve">## price ~ total.area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Df  Sum of Sq        RSS    AIC</w:t>
      </w:r>
      <w:r>
        <w:br/>
      </w:r>
      <w:r>
        <w:rPr>
          <w:rStyle w:val="VerbatimChar"/>
        </w:rPr>
        <w:t xml:space="preserve">## &lt;none&gt;                     2.3494e+15 808.35</w:t>
      </w:r>
      <w:r>
        <w:br/>
      </w:r>
      <w:r>
        <w:rPr>
          <w:rStyle w:val="VerbatimChar"/>
        </w:rPr>
        <w:t xml:space="preserve">## - total.area  1 3.9635e+15 6.3129e+15 831.06</w:t>
      </w:r>
    </w:p>
    <w:bookmarkEnd w:id="26"/>
    <w:bookmarkStart w:id="27" w:name="modelo"/>
    <w:p>
      <w:pPr>
        <w:pStyle w:val="Heading2"/>
      </w:pPr>
      <w:r>
        <w:t xml:space="preserve">Modelo</w:t>
      </w:r>
    </w:p>
    <w:p>
      <w:pPr>
        <w:pStyle w:val="TableCaption"/>
      </w:pPr>
      <w:r>
        <w:t xml:space="preserve">Resultados finais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Resultados finai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18894426.70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2460225.74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total.area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4297.17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689.85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7"/>
    <w:bookmarkStart w:id="31" w:name="gráfico-de-dispersão"/>
    <w:p>
      <w:pPr>
        <w:pStyle w:val="Heading2"/>
      </w:pPr>
      <w:r>
        <w:t xml:space="preserve">Gráfico de dispersão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ocumento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8" w:name="clusterização"/>
    <w:p>
      <w:pPr>
        <w:pStyle w:val="Heading2"/>
      </w:pPr>
      <w:r>
        <w:t xml:space="preserve">Clusterização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ocumento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ocumento_files/figure-docx/unnamed-chunk-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Guilherme Oliveira Casagrande</dc:creator>
  <cp:keywords/>
  <dcterms:created xsi:type="dcterms:W3CDTF">2023-12-11T11:07:44Z</dcterms:created>
  <dcterms:modified xsi:type="dcterms:W3CDTF">2023-12-11T11:07:44Z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2023-12-04</vt:lpwstr>
  </property>
  <property fmtid="{D5CDD505-2E9C-101B-9397-08002B2CF9AE}" pid="3" name="output">
    <vt:lpwstr>word_document</vt:lpwstr>
  </property>
</Properties>
</file>