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08824" w14:textId="77777777" w:rsidR="00187BD6" w:rsidRDefault="00000000" w:rsidP="001077B5">
      <w:pPr>
        <w:pStyle w:val="aa"/>
        <w:pBdr>
          <w:bottom w:val="nil"/>
        </w:pBdr>
        <w:spacing w:after="160"/>
        <w:jc w:val="center"/>
      </w:pPr>
      <w:r>
        <w:rPr>
          <w:rFonts w:ascii="Times New Roman" w:eastAsia="宋体" w:hAnsi="Times New Roman"/>
          <w:b/>
        </w:rPr>
        <w:t>An Auditable Risk-Aware Verification Agent for Medical Question Answering</w:t>
      </w:r>
    </w:p>
    <w:p w14:paraId="1E437E75" w14:textId="77777777" w:rsidR="00187BD6" w:rsidRDefault="00000000" w:rsidP="001077B5">
      <w:pPr>
        <w:spacing w:after="320"/>
        <w:jc w:val="center"/>
      </w:pPr>
      <w:r>
        <w:rPr>
          <w:i/>
        </w:rPr>
        <w:t>Selective self-verification and resource allocation across large language models</w:t>
      </w:r>
    </w:p>
    <w:p w14:paraId="1E571CE2" w14:textId="77777777" w:rsidR="00187BD6" w:rsidRDefault="00000000" w:rsidP="001077B5">
      <w:pPr>
        <w:jc w:val="center"/>
      </w:pPr>
      <w:r>
        <w:t>Author Name 1a, Author Name 2b, Corresponding Authorc</w:t>
      </w:r>
    </w:p>
    <w:p w14:paraId="0EFBBD6E" w14:textId="77777777" w:rsidR="00187BD6" w:rsidRDefault="00000000" w:rsidP="001077B5">
      <w:pPr>
        <w:jc w:val="center"/>
      </w:pPr>
      <w:r>
        <w:rPr>
          <w:sz w:val="18"/>
        </w:rPr>
        <w:t>a Department, University, City, Country | b Department, University, City, Country | c Corresponding author email</w:t>
      </w:r>
    </w:p>
    <w:p w14:paraId="6A9EE8B2" w14:textId="77777777" w:rsidR="00187BD6" w:rsidRDefault="00000000" w:rsidP="001077B5">
      <w:pPr>
        <w:pStyle w:val="1"/>
        <w:keepNext w:val="0"/>
        <w:keepLines w:val="0"/>
        <w:widowControl w:val="0"/>
        <w:spacing w:before="200" w:after="100"/>
        <w:jc w:val="both"/>
      </w:pPr>
      <w:r>
        <w:rPr>
          <w:rFonts w:ascii="Times New Roman" w:eastAsia="宋体" w:hAnsi="Times New Roman"/>
        </w:rPr>
        <w:t>Abstract</w:t>
      </w:r>
    </w:p>
    <w:p w14:paraId="6D51D64B" w14:textId="77777777" w:rsidR="00187BD6" w:rsidRDefault="00000000" w:rsidP="001077B5">
      <w:pPr>
        <w:spacing w:after="100" w:line="300" w:lineRule="auto"/>
        <w:ind w:firstLine="360"/>
        <w:jc w:val="both"/>
      </w:pPr>
      <w:r>
        <w:t>Large language model agents are often evaluated by the accuracy of a single final response, which does not determine when an additional verification call is warranted, when computation should be conserved, or when the system should expose uncertainty. We present the Risk-Aware Evidence Verification Agent (RAVA-Agent), an auditable action policy that represents risk routing, selective verification, evidence retrieval, and conservative handoff as explicit logged actions. On a public CMB-Exam evaluation, we compare Direct, Always-Verify, High-only, and Medium+High policies on an initial stratified 500-item set and a source_id-disjoint stratified replication set of 500 items. The primary replication evaluates Qwen3.8-27B, Kimi K2.6, and DeepSeek-V4-Flash-0731. Relative to Direct, Always-Verify changed paired accuracy by +1.2, +0.2, and -0.2 percentage points, respectively; none of the paired comparisons was significant by exact McNemar testing. High-only and Medium+High triggered extra verification for 6.4% and 35.6% of items, reducing total calls from 1,000 under Always-Verify to 532 and 678. A 24-case public complex-case audit produced complete route, retrieval, and conservative-handoff logs; without independent clinical expert labels, it is interpreted only as an execution and auditability assessment. The results show that a frozen routing policy can make verification a reproducible resource-allocation decision, while same-model second-pass verification does not show a stable accuracy benefit in this exploratory setting.</w:t>
      </w:r>
    </w:p>
    <w:p w14:paraId="7796EF15" w14:textId="77777777" w:rsidR="00187BD6" w:rsidRDefault="00000000" w:rsidP="001077B5">
      <w:pPr>
        <w:spacing w:after="100" w:line="300" w:lineRule="auto"/>
        <w:jc w:val="both"/>
      </w:pPr>
      <w:r>
        <w:t>Keywords: large language model agents; selective verification; auditable systems; resource allocation; medical question answering</w:t>
      </w:r>
    </w:p>
    <w:p w14:paraId="745EF1EF" w14:textId="77777777" w:rsidR="00187BD6" w:rsidRDefault="00000000" w:rsidP="001077B5">
      <w:pPr>
        <w:pStyle w:val="1"/>
        <w:keepNext w:val="0"/>
        <w:keepLines w:val="0"/>
        <w:widowControl w:val="0"/>
        <w:spacing w:before="200" w:after="100"/>
        <w:jc w:val="both"/>
      </w:pPr>
      <w:r>
        <w:rPr>
          <w:rFonts w:ascii="Times New Roman" w:eastAsia="宋体" w:hAnsi="Times New Roman"/>
        </w:rPr>
        <w:t>1. Introduction</w:t>
      </w:r>
    </w:p>
    <w:p w14:paraId="79746105" w14:textId="77777777" w:rsidR="00187BD6" w:rsidRDefault="00000000" w:rsidP="001077B5">
      <w:pPr>
        <w:spacing w:after="100" w:line="300" w:lineRule="auto"/>
        <w:ind w:firstLine="360"/>
        <w:jc w:val="both"/>
      </w:pPr>
      <w:r>
        <w:t>Large language models are increasingly embedded in agents that call tools, maintain task state, and perform multistep decisions. In high-impact domains, a useful system must make its actions inspectable: it should record why it verifies an answer, why it does not, and why it defers. The World Health Organization emphasizes human oversight, transparency, and accountability in artificial intelligence for health (World Health Organization, 2021). These principles motivate medical question answering as a testbed for auditable agent control, but performance on public examination questions is not evidence of clinical effectiveness.</w:t>
      </w:r>
    </w:p>
    <w:p w14:paraId="00BAFF1F" w14:textId="77777777" w:rsidR="00187BD6" w:rsidRDefault="00000000" w:rsidP="001077B5">
      <w:pPr>
        <w:spacing w:after="100" w:line="300" w:lineRule="auto"/>
        <w:ind w:firstLine="360"/>
        <w:jc w:val="both"/>
      </w:pPr>
      <w:r>
        <w:t xml:space="preserve">Public resources such as CMB, MedBench, and MedAgentBench enable reproducible evaluation of medical language models and agents (Wang et al., 2024; Cai et al., 2024; Jiang et al., 2025). Yet automatically scored multiple-choice tasks primarily assess a final option. They do not reveal whether </w:t>
      </w:r>
      <w:r>
        <w:lastRenderedPageBreak/>
        <w:t>extra verification is worth its cost, whether a policy applies extra computation consistently, or whether an agent performs a conservative fallback when evidence is insufficient.</w:t>
      </w:r>
    </w:p>
    <w:p w14:paraId="20D9F6F2" w14:textId="77777777" w:rsidR="00187BD6" w:rsidRDefault="00000000" w:rsidP="001077B5">
      <w:pPr>
        <w:spacing w:after="100" w:line="300" w:lineRule="auto"/>
        <w:ind w:firstLine="360"/>
        <w:jc w:val="both"/>
      </w:pPr>
      <w:r>
        <w:t>Self-Refine and Reflexion show that language feedback can support iterative improvement (Madaan et al., 2023; Shinn et al., 2023). However, a first answer and a same-model revision may share the same knowledge gaps and contextual bias. This study therefore treats verification as an action selected by an explicit policy rather than as a default extra generation step. We ask: (RQ1) does same-model verification produce stable accuracy gains; (RQ2) can a frozen policy allocate verification calls reproducibly; and (RQ3) does the policy-level resource behavior replicate across models?</w:t>
      </w:r>
    </w:p>
    <w:p w14:paraId="64E35B9C" w14:textId="77777777" w:rsidR="00187BD6" w:rsidRDefault="00000000" w:rsidP="001077B5">
      <w:pPr>
        <w:pStyle w:val="1"/>
        <w:keepNext w:val="0"/>
        <w:keepLines w:val="0"/>
        <w:widowControl w:val="0"/>
        <w:spacing w:before="200" w:after="100"/>
        <w:jc w:val="both"/>
      </w:pPr>
      <w:r>
        <w:rPr>
          <w:rFonts w:ascii="Times New Roman" w:eastAsia="宋体" w:hAnsi="Times New Roman"/>
        </w:rPr>
        <w:t>2. Related work</w:t>
      </w:r>
    </w:p>
    <w:p w14:paraId="013E4FC6" w14:textId="77777777" w:rsidR="00187BD6" w:rsidRDefault="00000000" w:rsidP="001077B5">
      <w:pPr>
        <w:pStyle w:val="21"/>
        <w:keepNext w:val="0"/>
        <w:keepLines w:val="0"/>
        <w:widowControl w:val="0"/>
        <w:spacing w:after="100"/>
        <w:jc w:val="both"/>
      </w:pPr>
      <w:r>
        <w:rPr>
          <w:rFonts w:ascii="Times New Roman" w:eastAsia="宋体" w:hAnsi="Times New Roman"/>
        </w:rPr>
        <w:t>2.1 Medical language models and agents</w:t>
      </w:r>
    </w:p>
    <w:p w14:paraId="4E86FD80" w14:textId="77777777" w:rsidR="00187BD6" w:rsidRDefault="00000000" w:rsidP="001077B5">
      <w:pPr>
        <w:spacing w:after="100" w:line="300" w:lineRule="auto"/>
        <w:ind w:firstLine="360"/>
        <w:jc w:val="both"/>
      </w:pPr>
      <w:r>
        <w:t>CMB and MedBench provide Chinese medical benchmarks, while MedAgentBench evaluates agent actions in a virtual electronic health-record environment. Clinical-knowledge studies demonstrate substantial model capability but also prompt sensitivity and robustness limitations (Singhal et al., 2023; Hager et al., 2024). Accordingly, we use CMB-Exam as an engineering evaluation substrate rather than a clinical endpoint.</w:t>
      </w:r>
    </w:p>
    <w:p w14:paraId="2BB7F58A" w14:textId="77777777" w:rsidR="00187BD6" w:rsidRDefault="00000000" w:rsidP="001077B5">
      <w:pPr>
        <w:pStyle w:val="21"/>
        <w:keepNext w:val="0"/>
        <w:keepLines w:val="0"/>
        <w:widowControl w:val="0"/>
        <w:spacing w:after="100"/>
        <w:jc w:val="both"/>
      </w:pPr>
      <w:r>
        <w:rPr>
          <w:rFonts w:ascii="Times New Roman" w:eastAsia="宋体" w:hAnsi="Times New Roman"/>
        </w:rPr>
        <w:t>2.2 Test-time refinement and safety-oriented fallback</w:t>
      </w:r>
    </w:p>
    <w:p w14:paraId="4B536C80" w14:textId="77777777" w:rsidR="00187BD6" w:rsidRDefault="00000000" w:rsidP="001077B5">
      <w:pPr>
        <w:spacing w:after="100" w:line="300" w:lineRule="auto"/>
        <w:ind w:firstLine="360"/>
        <w:jc w:val="both"/>
      </w:pPr>
      <w:r>
        <w:t>Prior refinement work does not imply that repeated calls from the same model independently validate an answer. Medical safety research further motivates recording hazardous-output avoidance and fallback behavior (Han et al., 2024). RAVA-Agent makes these system actions observable; it does not claim to be a clinically validated safety classifier.</w:t>
      </w:r>
    </w:p>
    <w:p w14:paraId="5A763B45" w14:textId="77777777" w:rsidR="00187BD6" w:rsidRDefault="00000000" w:rsidP="001077B5">
      <w:pPr>
        <w:pStyle w:val="1"/>
        <w:keepNext w:val="0"/>
        <w:keepLines w:val="0"/>
        <w:widowControl w:val="0"/>
        <w:spacing w:before="200" w:after="100"/>
        <w:jc w:val="both"/>
      </w:pPr>
      <w:r>
        <w:rPr>
          <w:rFonts w:ascii="Times New Roman" w:eastAsia="宋体" w:hAnsi="Times New Roman"/>
        </w:rPr>
        <w:t>3. RAVA-Agent</w:t>
      </w:r>
    </w:p>
    <w:p w14:paraId="04CCBEEE" w14:textId="77777777" w:rsidR="00187BD6" w:rsidRDefault="00000000" w:rsidP="001077B5">
      <w:pPr>
        <w:pStyle w:val="21"/>
        <w:keepNext w:val="0"/>
        <w:keepLines w:val="0"/>
        <w:widowControl w:val="0"/>
        <w:spacing w:after="100"/>
        <w:jc w:val="both"/>
      </w:pPr>
      <w:r>
        <w:rPr>
          <w:rFonts w:ascii="Times New Roman" w:eastAsia="宋体" w:hAnsi="Times New Roman"/>
        </w:rPr>
        <w:t>3.1 Action policy and audit trail</w:t>
      </w:r>
    </w:p>
    <w:p w14:paraId="3DC5636A" w14:textId="77777777" w:rsidR="00187BD6" w:rsidRDefault="00000000" w:rsidP="001077B5">
      <w:pPr>
        <w:spacing w:after="100" w:line="300" w:lineRule="auto"/>
        <w:ind w:firstLine="360"/>
        <w:jc w:val="both"/>
      </w:pPr>
      <w:r>
        <w:t>For an input x, a frozen policy P assigns r in {low, medium, high}. The agent may answer directly, retrieve candidate evidence, invoke verification, or hand off. Each execution emits an audit record containing route, matched_policy_terms, evidence_count, verification_used, action, handoff_reason, and API-call count. The action sequence is State(x) -&gt; Route(r) -&gt; Retrieve(e) -&gt; Verify(v) or Handoff(h) -&gt; Output(y) -&gt; Log(l).</w:t>
      </w:r>
    </w:p>
    <w:p w14:paraId="5883A0C3" w14:textId="77777777" w:rsidR="00187BD6" w:rsidRDefault="00000000" w:rsidP="001077B5">
      <w:pPr>
        <w:pStyle w:val="21"/>
        <w:keepNext w:val="0"/>
        <w:keepLines w:val="0"/>
        <w:widowControl w:val="0"/>
        <w:spacing w:after="100"/>
        <w:jc w:val="both"/>
      </w:pPr>
      <w:r>
        <w:rPr>
          <w:rFonts w:ascii="Times New Roman" w:eastAsia="宋体" w:hAnsi="Times New Roman"/>
        </w:rPr>
        <w:t>3.2 Compared policies</w:t>
      </w:r>
    </w:p>
    <w:p w14:paraId="4CBB4F14" w14:textId="77777777" w:rsidR="00187BD6" w:rsidRDefault="00000000" w:rsidP="001077B5">
      <w:pPr>
        <w:spacing w:after="100" w:line="300" w:lineRule="auto"/>
        <w:ind w:firstLine="360"/>
        <w:jc w:val="both"/>
      </w:pPr>
      <w:r>
        <w:t>Direct calls the model once. Always-Verify generates an initial answer and a same-model verification answer for every item. High-only invokes verification only after a high-risk-term match, while Medium+High invokes it after a medium- or high-risk-term match. All policies share the same items, answer parser, and public gold labels. Gold labels are excluded from prompts, policy files, and the evidence store.</w:t>
      </w:r>
    </w:p>
    <w:p w14:paraId="48D57DDE" w14:textId="77777777" w:rsidR="00187BD6" w:rsidRDefault="00000000" w:rsidP="001077B5">
      <w:pPr>
        <w:pStyle w:val="1"/>
        <w:keepNext w:val="0"/>
        <w:keepLines w:val="0"/>
        <w:widowControl w:val="0"/>
        <w:spacing w:before="200" w:after="100"/>
        <w:jc w:val="both"/>
      </w:pPr>
      <w:r>
        <w:rPr>
          <w:rFonts w:ascii="Times New Roman" w:eastAsia="宋体" w:hAnsi="Times New Roman"/>
        </w:rPr>
        <w:t>4. Experimental design</w:t>
      </w:r>
    </w:p>
    <w:p w14:paraId="414A920D" w14:textId="77777777" w:rsidR="00187BD6" w:rsidRDefault="00000000" w:rsidP="001077B5">
      <w:pPr>
        <w:pStyle w:val="21"/>
        <w:keepNext w:val="0"/>
        <w:keepLines w:val="0"/>
        <w:widowControl w:val="0"/>
        <w:spacing w:after="100"/>
        <w:jc w:val="both"/>
      </w:pPr>
      <w:r>
        <w:rPr>
          <w:rFonts w:ascii="Times New Roman" w:eastAsia="宋体" w:hAnsi="Times New Roman"/>
        </w:rPr>
        <w:lastRenderedPageBreak/>
        <w:t>4.1 Data, models, and reproducibility protocol</w:t>
      </w:r>
    </w:p>
    <w:p w14:paraId="64D1E5D8" w14:textId="77777777" w:rsidR="00187BD6" w:rsidRDefault="00000000" w:rsidP="001077B5">
      <w:pPr>
        <w:spacing w:after="100" w:line="300" w:lineRule="auto"/>
        <w:ind w:firstLine="360"/>
        <w:jc w:val="both"/>
      </w:pPr>
      <w:r>
        <w:t>An initial 500-item CMB-Exam subset was stratified over six examination categories using seed 20260917. A primary replication subset was independently stratified using seed 20260920; items sharing source_id with the initial subset were excluded. Its category counts were 84, 84, 83, 83, 83, and 83. Qwen3.8-27B was evaluated on both sets. On the source_id-disjoint set, Qwen3.8-27B, Kimi K2.6, and DeepSeek-V4-Flash-0731 were evaluated under all four policies. Kimi K2.6 and DeepSeek were configured with answer-only output, max_tokens=256, and enable_thinking=false to ensure consistent answer parsing. Kimi K3 was excluded after persistent thinking-output truncation during pilot compatibility checks.</w:t>
      </w:r>
    </w:p>
    <w:p w14:paraId="636B899A" w14:textId="77777777" w:rsidR="00187BD6" w:rsidRDefault="00000000" w:rsidP="001077B5">
      <w:pPr>
        <w:spacing w:after="100" w:line="300" w:lineRule="auto"/>
        <w:ind w:firstLine="360"/>
        <w:jc w:val="both"/>
      </w:pPr>
      <w:r>
        <w:t>The 12 primary-replication logs contain 500 records each, with zero runtime errors and 500 parsed final options. Remote wall-clock time includes network, queueing, and service-side variation; therefore call count and trigger rate are the primary resource-behavior measures. Cross-model accuracy and latency rankings are not inferred because models and output protocols differ.</w:t>
      </w:r>
    </w:p>
    <w:p w14:paraId="2F8AB5A2" w14:textId="77777777" w:rsidR="00187BD6" w:rsidRDefault="00000000" w:rsidP="001077B5">
      <w:pPr>
        <w:pStyle w:val="21"/>
        <w:keepNext w:val="0"/>
        <w:keepLines w:val="0"/>
        <w:widowControl w:val="0"/>
        <w:spacing w:after="100"/>
        <w:jc w:val="both"/>
      </w:pPr>
      <w:r>
        <w:rPr>
          <w:rFonts w:ascii="Times New Roman" w:eastAsia="宋体" w:hAnsi="Times New Roman"/>
        </w:rPr>
        <w:t>4.2 Outcomes and analysis</w:t>
      </w:r>
    </w:p>
    <w:p w14:paraId="7766D5C6" w14:textId="77777777" w:rsidR="00187BD6" w:rsidRDefault="00000000" w:rsidP="001077B5">
      <w:pPr>
        <w:spacing w:after="100" w:line="300" w:lineRule="auto"/>
        <w:ind w:firstLine="360"/>
        <w:jc w:val="both"/>
      </w:pPr>
      <w:r>
        <w:t>Outcomes are accuracy, Wilson 95% confidence intervals (Wilson, 1927), parse success, runtime errors, mean item time, total calls, trigger rate, and action counts. Since policies answer identical items, paired comparisons use two-sided exact McNemar tests (McNemar, 1947). All tests are exploratory and are not multiplicity-adjusted. The complex-case audit reports execution behavior only; it does not report clinical correctness, risk-routing accuracy, evidence adequacy, or handoff appropriateness.</w:t>
      </w:r>
    </w:p>
    <w:p w14:paraId="3F240989" w14:textId="77777777" w:rsidR="00187BD6" w:rsidRDefault="00000000" w:rsidP="001077B5">
      <w:pPr>
        <w:pStyle w:val="1"/>
        <w:keepNext w:val="0"/>
        <w:keepLines w:val="0"/>
        <w:widowControl w:val="0"/>
        <w:spacing w:before="200" w:after="100"/>
        <w:jc w:val="both"/>
      </w:pPr>
      <w:r>
        <w:rPr>
          <w:rFonts w:ascii="Times New Roman" w:eastAsia="宋体" w:hAnsi="Times New Roman"/>
        </w:rPr>
        <w:t>5. Results</w:t>
      </w:r>
    </w:p>
    <w:p w14:paraId="648EA94E" w14:textId="77777777" w:rsidR="00187BD6" w:rsidRDefault="00000000" w:rsidP="001077B5">
      <w:pPr>
        <w:pStyle w:val="21"/>
        <w:keepNext w:val="0"/>
        <w:keepLines w:val="0"/>
        <w:widowControl w:val="0"/>
        <w:spacing w:after="100"/>
        <w:jc w:val="both"/>
      </w:pPr>
      <w:r>
        <w:rPr>
          <w:rFonts w:ascii="Times New Roman" w:eastAsia="宋体" w:hAnsi="Times New Roman"/>
        </w:rPr>
        <w:t>5.1 Initial exploration</w:t>
      </w:r>
    </w:p>
    <w:p w14:paraId="5001FBB0" w14:textId="77777777" w:rsidR="00187BD6" w:rsidRDefault="00000000" w:rsidP="001077B5">
      <w:pPr>
        <w:spacing w:after="100" w:line="300" w:lineRule="auto"/>
        <w:ind w:firstLine="360"/>
        <w:jc w:val="both"/>
      </w:pPr>
      <w:r>
        <w:t>On the initial Qwen3.8-27B set, Direct, Always-Verify, and Medium+High achieved 90.8% (454/500), 90.4% (452/500), and 88.8% (444/500), respectively. Always-Verify corrected 13 Direct errors but changed 15 Direct-correct answers to incorrect answers (p=0.851). Medium+High corrected 12 and worsened 22 answers (p=0.121).</w:t>
      </w:r>
    </w:p>
    <w:p w14:paraId="77216D6B" w14:textId="77777777" w:rsidR="00187BD6" w:rsidRDefault="00000000" w:rsidP="001077B5">
      <w:pPr>
        <w:spacing w:before="120" w:after="60"/>
        <w:jc w:val="center"/>
      </w:pPr>
      <w:r>
        <w:rPr>
          <w:b/>
          <w:sz w:val="20"/>
        </w:rPr>
        <w:t>Table 1. Initial stratified 500-item exploration with Qwen3.8-27B</w:t>
      </w:r>
    </w:p>
    <w:tbl>
      <w:tblPr>
        <w:tblStyle w:val="aff1"/>
        <w:tblW w:w="0" w:type="auto"/>
        <w:jc w:val="center"/>
        <w:tblLook w:val="04A0" w:firstRow="1" w:lastRow="0" w:firstColumn="1" w:lastColumn="0" w:noHBand="0" w:noVBand="1"/>
      </w:tblPr>
      <w:tblGrid>
        <w:gridCol w:w="1872"/>
        <w:gridCol w:w="1872"/>
        <w:gridCol w:w="1872"/>
        <w:gridCol w:w="1872"/>
        <w:gridCol w:w="1872"/>
      </w:tblGrid>
      <w:tr w:rsidR="00187BD6" w14:paraId="45A17D41" w14:textId="77777777" w:rsidTr="001077B5">
        <w:trPr>
          <w:tblHeader/>
          <w:jc w:val="center"/>
        </w:trPr>
        <w:tc>
          <w:tcPr>
            <w:tcW w:w="1872" w:type="dxa"/>
            <w:shd w:val="clear" w:color="auto" w:fill="1F4E79"/>
            <w:vAlign w:val="center"/>
          </w:tcPr>
          <w:p w14:paraId="586FA3F2" w14:textId="77777777" w:rsidR="00187BD6" w:rsidRDefault="00000000" w:rsidP="001077B5">
            <w:pPr>
              <w:jc w:val="both"/>
            </w:pPr>
            <w:r>
              <w:rPr>
                <w:b/>
                <w:color w:val="FFFFFF"/>
                <w:sz w:val="17"/>
              </w:rPr>
              <w:t>Policy</w:t>
            </w:r>
          </w:p>
        </w:tc>
        <w:tc>
          <w:tcPr>
            <w:tcW w:w="1872" w:type="dxa"/>
            <w:shd w:val="clear" w:color="auto" w:fill="1F4E79"/>
            <w:vAlign w:val="center"/>
          </w:tcPr>
          <w:p w14:paraId="4DF16157" w14:textId="77777777" w:rsidR="00187BD6" w:rsidRDefault="00000000" w:rsidP="001077B5">
            <w:pPr>
              <w:jc w:val="both"/>
            </w:pPr>
            <w:r>
              <w:rPr>
                <w:b/>
                <w:color w:val="FFFFFF"/>
                <w:sz w:val="17"/>
              </w:rPr>
              <w:t>Correct / n</w:t>
            </w:r>
          </w:p>
        </w:tc>
        <w:tc>
          <w:tcPr>
            <w:tcW w:w="1872" w:type="dxa"/>
            <w:shd w:val="clear" w:color="auto" w:fill="1F4E79"/>
            <w:vAlign w:val="center"/>
          </w:tcPr>
          <w:p w14:paraId="40302C0F" w14:textId="77777777" w:rsidR="00187BD6" w:rsidRDefault="00000000" w:rsidP="001077B5">
            <w:pPr>
              <w:jc w:val="both"/>
            </w:pPr>
            <w:r>
              <w:rPr>
                <w:b/>
                <w:color w:val="FFFFFF"/>
                <w:sz w:val="17"/>
              </w:rPr>
              <w:t>Accuracy</w:t>
            </w:r>
          </w:p>
        </w:tc>
        <w:tc>
          <w:tcPr>
            <w:tcW w:w="1872" w:type="dxa"/>
            <w:shd w:val="clear" w:color="auto" w:fill="1F4E79"/>
            <w:vAlign w:val="center"/>
          </w:tcPr>
          <w:p w14:paraId="1317130B" w14:textId="77777777" w:rsidR="00187BD6" w:rsidRDefault="00000000" w:rsidP="001077B5">
            <w:pPr>
              <w:jc w:val="both"/>
            </w:pPr>
            <w:r>
              <w:rPr>
                <w:b/>
                <w:color w:val="FFFFFF"/>
                <w:sz w:val="17"/>
              </w:rPr>
              <w:t>Mean seconds</w:t>
            </w:r>
          </w:p>
        </w:tc>
        <w:tc>
          <w:tcPr>
            <w:tcW w:w="1872" w:type="dxa"/>
            <w:shd w:val="clear" w:color="auto" w:fill="1F4E79"/>
            <w:vAlign w:val="center"/>
          </w:tcPr>
          <w:p w14:paraId="77424D6E" w14:textId="77777777" w:rsidR="00187BD6" w:rsidRDefault="00000000" w:rsidP="001077B5">
            <w:pPr>
              <w:jc w:val="both"/>
            </w:pPr>
            <w:r>
              <w:rPr>
                <w:b/>
                <w:color w:val="FFFFFF"/>
                <w:sz w:val="17"/>
              </w:rPr>
              <w:t>Total calls</w:t>
            </w:r>
          </w:p>
        </w:tc>
      </w:tr>
      <w:tr w:rsidR="00187BD6" w14:paraId="220956D4" w14:textId="77777777" w:rsidTr="001077B5">
        <w:trPr>
          <w:jc w:val="center"/>
        </w:trPr>
        <w:tc>
          <w:tcPr>
            <w:tcW w:w="1872" w:type="dxa"/>
            <w:vAlign w:val="center"/>
          </w:tcPr>
          <w:p w14:paraId="5F4F1009" w14:textId="77777777" w:rsidR="00187BD6" w:rsidRDefault="00000000" w:rsidP="001077B5">
            <w:pPr>
              <w:jc w:val="both"/>
            </w:pPr>
            <w:r>
              <w:rPr>
                <w:sz w:val="17"/>
              </w:rPr>
              <w:t>Direct</w:t>
            </w:r>
          </w:p>
        </w:tc>
        <w:tc>
          <w:tcPr>
            <w:tcW w:w="1872" w:type="dxa"/>
            <w:vAlign w:val="center"/>
          </w:tcPr>
          <w:p w14:paraId="772718E9" w14:textId="77777777" w:rsidR="00187BD6" w:rsidRDefault="00000000" w:rsidP="001077B5">
            <w:pPr>
              <w:jc w:val="both"/>
            </w:pPr>
            <w:r>
              <w:rPr>
                <w:sz w:val="17"/>
              </w:rPr>
              <w:t>454 / 500</w:t>
            </w:r>
          </w:p>
        </w:tc>
        <w:tc>
          <w:tcPr>
            <w:tcW w:w="1872" w:type="dxa"/>
            <w:vAlign w:val="center"/>
          </w:tcPr>
          <w:p w14:paraId="31F39536" w14:textId="77777777" w:rsidR="00187BD6" w:rsidRDefault="00000000" w:rsidP="001077B5">
            <w:pPr>
              <w:jc w:val="both"/>
            </w:pPr>
            <w:r>
              <w:rPr>
                <w:sz w:val="17"/>
              </w:rPr>
              <w:t>90.8%</w:t>
            </w:r>
          </w:p>
        </w:tc>
        <w:tc>
          <w:tcPr>
            <w:tcW w:w="1872" w:type="dxa"/>
            <w:vAlign w:val="center"/>
          </w:tcPr>
          <w:p w14:paraId="68B0081D" w14:textId="77777777" w:rsidR="00187BD6" w:rsidRDefault="00000000" w:rsidP="001077B5">
            <w:pPr>
              <w:jc w:val="both"/>
            </w:pPr>
            <w:r>
              <w:rPr>
                <w:sz w:val="17"/>
              </w:rPr>
              <w:t>15.46</w:t>
            </w:r>
          </w:p>
        </w:tc>
        <w:tc>
          <w:tcPr>
            <w:tcW w:w="1872" w:type="dxa"/>
            <w:vAlign w:val="center"/>
          </w:tcPr>
          <w:p w14:paraId="44343606" w14:textId="77777777" w:rsidR="00187BD6" w:rsidRDefault="00000000" w:rsidP="001077B5">
            <w:pPr>
              <w:jc w:val="both"/>
            </w:pPr>
            <w:r>
              <w:rPr>
                <w:sz w:val="17"/>
              </w:rPr>
              <w:t>500</w:t>
            </w:r>
          </w:p>
        </w:tc>
      </w:tr>
      <w:tr w:rsidR="00187BD6" w14:paraId="47F2380E" w14:textId="77777777" w:rsidTr="001077B5">
        <w:trPr>
          <w:jc w:val="center"/>
        </w:trPr>
        <w:tc>
          <w:tcPr>
            <w:tcW w:w="1872" w:type="dxa"/>
            <w:shd w:val="clear" w:color="auto" w:fill="EAF2F8"/>
            <w:vAlign w:val="center"/>
          </w:tcPr>
          <w:p w14:paraId="5B54C3E7" w14:textId="77777777" w:rsidR="00187BD6" w:rsidRDefault="00000000" w:rsidP="001077B5">
            <w:pPr>
              <w:jc w:val="both"/>
            </w:pPr>
            <w:r>
              <w:rPr>
                <w:sz w:val="17"/>
              </w:rPr>
              <w:t>Always-Verify</w:t>
            </w:r>
          </w:p>
        </w:tc>
        <w:tc>
          <w:tcPr>
            <w:tcW w:w="1872" w:type="dxa"/>
            <w:shd w:val="clear" w:color="auto" w:fill="EAF2F8"/>
            <w:vAlign w:val="center"/>
          </w:tcPr>
          <w:p w14:paraId="5DEC5A4B" w14:textId="77777777" w:rsidR="00187BD6" w:rsidRDefault="00000000" w:rsidP="001077B5">
            <w:pPr>
              <w:jc w:val="both"/>
            </w:pPr>
            <w:r>
              <w:rPr>
                <w:sz w:val="17"/>
              </w:rPr>
              <w:t>452 / 500</w:t>
            </w:r>
          </w:p>
        </w:tc>
        <w:tc>
          <w:tcPr>
            <w:tcW w:w="1872" w:type="dxa"/>
            <w:shd w:val="clear" w:color="auto" w:fill="EAF2F8"/>
            <w:vAlign w:val="center"/>
          </w:tcPr>
          <w:p w14:paraId="4F50E63B" w14:textId="77777777" w:rsidR="00187BD6" w:rsidRDefault="00000000" w:rsidP="001077B5">
            <w:pPr>
              <w:jc w:val="both"/>
            </w:pPr>
            <w:r>
              <w:rPr>
                <w:sz w:val="17"/>
              </w:rPr>
              <w:t>90.4%</w:t>
            </w:r>
          </w:p>
        </w:tc>
        <w:tc>
          <w:tcPr>
            <w:tcW w:w="1872" w:type="dxa"/>
            <w:shd w:val="clear" w:color="auto" w:fill="EAF2F8"/>
            <w:vAlign w:val="center"/>
          </w:tcPr>
          <w:p w14:paraId="6D9D505B" w14:textId="77777777" w:rsidR="00187BD6" w:rsidRDefault="00000000" w:rsidP="001077B5">
            <w:pPr>
              <w:jc w:val="both"/>
            </w:pPr>
            <w:r>
              <w:rPr>
                <w:sz w:val="17"/>
              </w:rPr>
              <w:t>36.83</w:t>
            </w:r>
          </w:p>
        </w:tc>
        <w:tc>
          <w:tcPr>
            <w:tcW w:w="1872" w:type="dxa"/>
            <w:shd w:val="clear" w:color="auto" w:fill="EAF2F8"/>
            <w:vAlign w:val="center"/>
          </w:tcPr>
          <w:p w14:paraId="4720949D" w14:textId="77777777" w:rsidR="00187BD6" w:rsidRDefault="00000000" w:rsidP="001077B5">
            <w:pPr>
              <w:jc w:val="both"/>
            </w:pPr>
            <w:r>
              <w:rPr>
                <w:sz w:val="17"/>
              </w:rPr>
              <w:t>1,000</w:t>
            </w:r>
          </w:p>
        </w:tc>
      </w:tr>
      <w:tr w:rsidR="00187BD6" w14:paraId="2D8EC9D0" w14:textId="77777777" w:rsidTr="001077B5">
        <w:trPr>
          <w:jc w:val="center"/>
        </w:trPr>
        <w:tc>
          <w:tcPr>
            <w:tcW w:w="1872" w:type="dxa"/>
            <w:vAlign w:val="center"/>
          </w:tcPr>
          <w:p w14:paraId="325D55F1" w14:textId="77777777" w:rsidR="00187BD6" w:rsidRDefault="00000000" w:rsidP="001077B5">
            <w:pPr>
              <w:jc w:val="both"/>
            </w:pPr>
            <w:r>
              <w:rPr>
                <w:sz w:val="17"/>
              </w:rPr>
              <w:t>Medium+High</w:t>
            </w:r>
          </w:p>
        </w:tc>
        <w:tc>
          <w:tcPr>
            <w:tcW w:w="1872" w:type="dxa"/>
            <w:vAlign w:val="center"/>
          </w:tcPr>
          <w:p w14:paraId="41B6C4C2" w14:textId="77777777" w:rsidR="00187BD6" w:rsidRDefault="00000000" w:rsidP="001077B5">
            <w:pPr>
              <w:jc w:val="both"/>
            </w:pPr>
            <w:r>
              <w:rPr>
                <w:sz w:val="17"/>
              </w:rPr>
              <w:t>444 / 500</w:t>
            </w:r>
          </w:p>
        </w:tc>
        <w:tc>
          <w:tcPr>
            <w:tcW w:w="1872" w:type="dxa"/>
            <w:vAlign w:val="center"/>
          </w:tcPr>
          <w:p w14:paraId="1BA727E3" w14:textId="77777777" w:rsidR="00187BD6" w:rsidRDefault="00000000" w:rsidP="001077B5">
            <w:pPr>
              <w:jc w:val="both"/>
            </w:pPr>
            <w:r>
              <w:rPr>
                <w:sz w:val="17"/>
              </w:rPr>
              <w:t>88.8%</w:t>
            </w:r>
          </w:p>
        </w:tc>
        <w:tc>
          <w:tcPr>
            <w:tcW w:w="1872" w:type="dxa"/>
            <w:vAlign w:val="center"/>
          </w:tcPr>
          <w:p w14:paraId="76B1E808" w14:textId="77777777" w:rsidR="00187BD6" w:rsidRDefault="00000000" w:rsidP="001077B5">
            <w:pPr>
              <w:jc w:val="both"/>
            </w:pPr>
            <w:r>
              <w:rPr>
                <w:sz w:val="17"/>
              </w:rPr>
              <w:t>25.36</w:t>
            </w:r>
          </w:p>
        </w:tc>
        <w:tc>
          <w:tcPr>
            <w:tcW w:w="1872" w:type="dxa"/>
            <w:vAlign w:val="center"/>
          </w:tcPr>
          <w:p w14:paraId="221F806E" w14:textId="77777777" w:rsidR="00187BD6" w:rsidRDefault="00000000" w:rsidP="001077B5">
            <w:pPr>
              <w:jc w:val="both"/>
            </w:pPr>
            <w:r>
              <w:rPr>
                <w:sz w:val="17"/>
              </w:rPr>
              <w:t>656</w:t>
            </w:r>
          </w:p>
        </w:tc>
      </w:tr>
    </w:tbl>
    <w:p w14:paraId="59E0FFD6" w14:textId="77777777" w:rsidR="00187BD6" w:rsidRDefault="00187BD6" w:rsidP="001077B5">
      <w:pPr>
        <w:spacing w:after="40"/>
        <w:jc w:val="both"/>
      </w:pPr>
    </w:p>
    <w:p w14:paraId="27C39554" w14:textId="77777777" w:rsidR="00187BD6" w:rsidRDefault="00000000" w:rsidP="001077B5">
      <w:pPr>
        <w:pStyle w:val="21"/>
        <w:keepNext w:val="0"/>
        <w:keepLines w:val="0"/>
        <w:widowControl w:val="0"/>
        <w:spacing w:after="100"/>
        <w:jc w:val="both"/>
      </w:pPr>
      <w:r>
        <w:rPr>
          <w:rFonts w:ascii="Times New Roman" w:eastAsia="宋体" w:hAnsi="Times New Roman"/>
        </w:rPr>
        <w:t>5.2 Source_id-disjoint Qwen ablation</w:t>
      </w:r>
    </w:p>
    <w:p w14:paraId="1544702A" w14:textId="77777777" w:rsidR="00187BD6" w:rsidRDefault="00000000" w:rsidP="001077B5">
      <w:pPr>
        <w:spacing w:after="100" w:line="300" w:lineRule="auto"/>
        <w:ind w:firstLine="360"/>
        <w:jc w:val="both"/>
      </w:pPr>
      <w:r>
        <w:t>On the source_id-disjoint replication set, Qwen3.8-27B Direct achieved 88.4% (442/500). Always-Verify achieved 89.6% (448/500; 15 corrected versus 9 worsened; p=0.307). High-only achieved 89.2% (446/500; p=0.597), and Medium+High achieved 88.8% (444/500; p=0.845). None of the paired effects was statistically significant.</w:t>
      </w:r>
    </w:p>
    <w:p w14:paraId="7D8FBB05" w14:textId="77777777" w:rsidR="00187BD6" w:rsidRDefault="00000000" w:rsidP="001077B5">
      <w:pPr>
        <w:spacing w:before="120" w:after="60"/>
        <w:jc w:val="center"/>
      </w:pPr>
      <w:r>
        <w:rPr>
          <w:b/>
          <w:sz w:val="20"/>
        </w:rPr>
        <w:t>Table 2. Qwen3.8-27B policy ablation on the source_id-disjoint 500-item set</w:t>
      </w:r>
    </w:p>
    <w:tbl>
      <w:tblPr>
        <w:tblStyle w:val="aff1"/>
        <w:tblW w:w="0" w:type="auto"/>
        <w:jc w:val="center"/>
        <w:tblLook w:val="04A0" w:firstRow="1" w:lastRow="0" w:firstColumn="1" w:lastColumn="0" w:noHBand="0" w:noVBand="1"/>
      </w:tblPr>
      <w:tblGrid>
        <w:gridCol w:w="1337"/>
        <w:gridCol w:w="1337"/>
        <w:gridCol w:w="1337"/>
        <w:gridCol w:w="1337"/>
        <w:gridCol w:w="1337"/>
        <w:gridCol w:w="1337"/>
        <w:gridCol w:w="1337"/>
      </w:tblGrid>
      <w:tr w:rsidR="00187BD6" w14:paraId="392B5004" w14:textId="77777777" w:rsidTr="001077B5">
        <w:trPr>
          <w:tblHeader/>
          <w:jc w:val="center"/>
        </w:trPr>
        <w:tc>
          <w:tcPr>
            <w:tcW w:w="1337" w:type="dxa"/>
            <w:shd w:val="clear" w:color="auto" w:fill="1F4E79"/>
            <w:vAlign w:val="center"/>
          </w:tcPr>
          <w:p w14:paraId="0E069EC3" w14:textId="77777777" w:rsidR="00187BD6" w:rsidRDefault="00000000" w:rsidP="001077B5">
            <w:pPr>
              <w:jc w:val="both"/>
            </w:pPr>
            <w:r>
              <w:rPr>
                <w:b/>
                <w:color w:val="FFFFFF"/>
                <w:sz w:val="17"/>
              </w:rPr>
              <w:lastRenderedPageBreak/>
              <w:t>Policy</w:t>
            </w:r>
          </w:p>
        </w:tc>
        <w:tc>
          <w:tcPr>
            <w:tcW w:w="1337" w:type="dxa"/>
            <w:shd w:val="clear" w:color="auto" w:fill="1F4E79"/>
            <w:vAlign w:val="center"/>
          </w:tcPr>
          <w:p w14:paraId="2F0560B4" w14:textId="77777777" w:rsidR="00187BD6" w:rsidRDefault="00000000" w:rsidP="001077B5">
            <w:pPr>
              <w:jc w:val="both"/>
            </w:pPr>
            <w:r>
              <w:rPr>
                <w:b/>
                <w:color w:val="FFFFFF"/>
                <w:sz w:val="17"/>
              </w:rPr>
              <w:t>Correct / n</w:t>
            </w:r>
          </w:p>
        </w:tc>
        <w:tc>
          <w:tcPr>
            <w:tcW w:w="1337" w:type="dxa"/>
            <w:shd w:val="clear" w:color="auto" w:fill="1F4E79"/>
            <w:vAlign w:val="center"/>
          </w:tcPr>
          <w:p w14:paraId="7C5BA644" w14:textId="77777777" w:rsidR="00187BD6" w:rsidRDefault="00000000" w:rsidP="001077B5">
            <w:pPr>
              <w:jc w:val="both"/>
            </w:pPr>
            <w:r>
              <w:rPr>
                <w:b/>
                <w:color w:val="FFFFFF"/>
                <w:sz w:val="17"/>
              </w:rPr>
              <w:t>Accuracy</w:t>
            </w:r>
          </w:p>
        </w:tc>
        <w:tc>
          <w:tcPr>
            <w:tcW w:w="1337" w:type="dxa"/>
            <w:shd w:val="clear" w:color="auto" w:fill="1F4E79"/>
            <w:vAlign w:val="center"/>
          </w:tcPr>
          <w:p w14:paraId="6306667A" w14:textId="77777777" w:rsidR="00187BD6" w:rsidRDefault="00000000" w:rsidP="001077B5">
            <w:pPr>
              <w:jc w:val="both"/>
            </w:pPr>
            <w:r>
              <w:rPr>
                <w:b/>
                <w:color w:val="FFFFFF"/>
                <w:sz w:val="17"/>
              </w:rPr>
              <w:t>Wilson 95% CI</w:t>
            </w:r>
          </w:p>
        </w:tc>
        <w:tc>
          <w:tcPr>
            <w:tcW w:w="1337" w:type="dxa"/>
            <w:shd w:val="clear" w:color="auto" w:fill="1F4E79"/>
            <w:vAlign w:val="center"/>
          </w:tcPr>
          <w:p w14:paraId="07964631" w14:textId="77777777" w:rsidR="00187BD6" w:rsidRDefault="00000000" w:rsidP="001077B5">
            <w:pPr>
              <w:jc w:val="both"/>
            </w:pPr>
            <w:r>
              <w:rPr>
                <w:b/>
                <w:color w:val="FFFFFF"/>
                <w:sz w:val="17"/>
              </w:rPr>
              <w:t>Delta vs Direct</w:t>
            </w:r>
          </w:p>
        </w:tc>
        <w:tc>
          <w:tcPr>
            <w:tcW w:w="1337" w:type="dxa"/>
            <w:shd w:val="clear" w:color="auto" w:fill="1F4E79"/>
            <w:vAlign w:val="center"/>
          </w:tcPr>
          <w:p w14:paraId="2B0F808C" w14:textId="77777777" w:rsidR="00187BD6" w:rsidRDefault="00000000" w:rsidP="001077B5">
            <w:pPr>
              <w:jc w:val="both"/>
            </w:pPr>
            <w:r>
              <w:rPr>
                <w:b/>
                <w:color w:val="FFFFFF"/>
                <w:sz w:val="17"/>
              </w:rPr>
              <w:t>McNemar p</w:t>
            </w:r>
          </w:p>
        </w:tc>
        <w:tc>
          <w:tcPr>
            <w:tcW w:w="1337" w:type="dxa"/>
            <w:shd w:val="clear" w:color="auto" w:fill="1F4E79"/>
            <w:vAlign w:val="center"/>
          </w:tcPr>
          <w:p w14:paraId="0CC33DEC" w14:textId="77777777" w:rsidR="00187BD6" w:rsidRDefault="00000000" w:rsidP="001077B5">
            <w:pPr>
              <w:jc w:val="both"/>
            </w:pPr>
            <w:r>
              <w:rPr>
                <w:b/>
                <w:color w:val="FFFFFF"/>
                <w:sz w:val="17"/>
              </w:rPr>
              <w:t>Calls</w:t>
            </w:r>
          </w:p>
        </w:tc>
      </w:tr>
      <w:tr w:rsidR="00187BD6" w14:paraId="5DA44F33" w14:textId="77777777" w:rsidTr="001077B5">
        <w:trPr>
          <w:jc w:val="center"/>
        </w:trPr>
        <w:tc>
          <w:tcPr>
            <w:tcW w:w="1337" w:type="dxa"/>
            <w:vAlign w:val="center"/>
          </w:tcPr>
          <w:p w14:paraId="4DA975A8" w14:textId="77777777" w:rsidR="00187BD6" w:rsidRDefault="00000000" w:rsidP="001077B5">
            <w:pPr>
              <w:jc w:val="both"/>
            </w:pPr>
            <w:r>
              <w:rPr>
                <w:sz w:val="17"/>
              </w:rPr>
              <w:t>Direct</w:t>
            </w:r>
          </w:p>
        </w:tc>
        <w:tc>
          <w:tcPr>
            <w:tcW w:w="1337" w:type="dxa"/>
            <w:vAlign w:val="center"/>
          </w:tcPr>
          <w:p w14:paraId="79137D74" w14:textId="77777777" w:rsidR="00187BD6" w:rsidRDefault="00000000" w:rsidP="001077B5">
            <w:pPr>
              <w:jc w:val="both"/>
            </w:pPr>
            <w:r>
              <w:rPr>
                <w:sz w:val="17"/>
              </w:rPr>
              <w:t>442 / 500</w:t>
            </w:r>
          </w:p>
        </w:tc>
        <w:tc>
          <w:tcPr>
            <w:tcW w:w="1337" w:type="dxa"/>
            <w:vAlign w:val="center"/>
          </w:tcPr>
          <w:p w14:paraId="7BC0B9A8" w14:textId="77777777" w:rsidR="00187BD6" w:rsidRDefault="00000000" w:rsidP="001077B5">
            <w:pPr>
              <w:jc w:val="both"/>
            </w:pPr>
            <w:r>
              <w:rPr>
                <w:sz w:val="17"/>
              </w:rPr>
              <w:t>88.4%</w:t>
            </w:r>
          </w:p>
        </w:tc>
        <w:tc>
          <w:tcPr>
            <w:tcW w:w="1337" w:type="dxa"/>
            <w:vAlign w:val="center"/>
          </w:tcPr>
          <w:p w14:paraId="2B9F5F3D" w14:textId="77777777" w:rsidR="00187BD6" w:rsidRDefault="00000000" w:rsidP="001077B5">
            <w:pPr>
              <w:jc w:val="both"/>
            </w:pPr>
            <w:r>
              <w:rPr>
                <w:sz w:val="17"/>
              </w:rPr>
              <w:t>85.3-90.9%</w:t>
            </w:r>
          </w:p>
        </w:tc>
        <w:tc>
          <w:tcPr>
            <w:tcW w:w="1337" w:type="dxa"/>
            <w:vAlign w:val="center"/>
          </w:tcPr>
          <w:p w14:paraId="1C156EB8" w14:textId="77777777" w:rsidR="00187BD6" w:rsidRDefault="00000000" w:rsidP="001077B5">
            <w:pPr>
              <w:jc w:val="both"/>
            </w:pPr>
            <w:r>
              <w:rPr>
                <w:sz w:val="17"/>
              </w:rPr>
              <w:t>-</w:t>
            </w:r>
          </w:p>
        </w:tc>
        <w:tc>
          <w:tcPr>
            <w:tcW w:w="1337" w:type="dxa"/>
            <w:vAlign w:val="center"/>
          </w:tcPr>
          <w:p w14:paraId="7D454E39" w14:textId="77777777" w:rsidR="00187BD6" w:rsidRDefault="00000000" w:rsidP="001077B5">
            <w:pPr>
              <w:jc w:val="both"/>
            </w:pPr>
            <w:r>
              <w:rPr>
                <w:sz w:val="17"/>
              </w:rPr>
              <w:t>-</w:t>
            </w:r>
          </w:p>
        </w:tc>
        <w:tc>
          <w:tcPr>
            <w:tcW w:w="1337" w:type="dxa"/>
            <w:vAlign w:val="center"/>
          </w:tcPr>
          <w:p w14:paraId="66D6E88D" w14:textId="77777777" w:rsidR="00187BD6" w:rsidRDefault="00000000" w:rsidP="001077B5">
            <w:pPr>
              <w:jc w:val="both"/>
            </w:pPr>
            <w:r>
              <w:rPr>
                <w:sz w:val="17"/>
              </w:rPr>
              <w:t>500</w:t>
            </w:r>
          </w:p>
        </w:tc>
      </w:tr>
      <w:tr w:rsidR="00187BD6" w14:paraId="1647DCBD" w14:textId="77777777" w:rsidTr="001077B5">
        <w:trPr>
          <w:jc w:val="center"/>
        </w:trPr>
        <w:tc>
          <w:tcPr>
            <w:tcW w:w="1337" w:type="dxa"/>
            <w:shd w:val="clear" w:color="auto" w:fill="EAF2F8"/>
            <w:vAlign w:val="center"/>
          </w:tcPr>
          <w:p w14:paraId="037F398A" w14:textId="77777777" w:rsidR="00187BD6" w:rsidRDefault="00000000" w:rsidP="001077B5">
            <w:pPr>
              <w:jc w:val="both"/>
            </w:pPr>
            <w:r>
              <w:rPr>
                <w:sz w:val="17"/>
              </w:rPr>
              <w:t>Always-Verify</w:t>
            </w:r>
          </w:p>
        </w:tc>
        <w:tc>
          <w:tcPr>
            <w:tcW w:w="1337" w:type="dxa"/>
            <w:shd w:val="clear" w:color="auto" w:fill="EAF2F8"/>
            <w:vAlign w:val="center"/>
          </w:tcPr>
          <w:p w14:paraId="42CF06B9" w14:textId="77777777" w:rsidR="00187BD6" w:rsidRDefault="00000000" w:rsidP="001077B5">
            <w:pPr>
              <w:jc w:val="both"/>
            </w:pPr>
            <w:r>
              <w:rPr>
                <w:sz w:val="17"/>
              </w:rPr>
              <w:t>448 / 500</w:t>
            </w:r>
          </w:p>
        </w:tc>
        <w:tc>
          <w:tcPr>
            <w:tcW w:w="1337" w:type="dxa"/>
            <w:shd w:val="clear" w:color="auto" w:fill="EAF2F8"/>
            <w:vAlign w:val="center"/>
          </w:tcPr>
          <w:p w14:paraId="1B41CBC3" w14:textId="77777777" w:rsidR="00187BD6" w:rsidRDefault="00000000" w:rsidP="001077B5">
            <w:pPr>
              <w:jc w:val="both"/>
            </w:pPr>
            <w:r>
              <w:rPr>
                <w:sz w:val="17"/>
              </w:rPr>
              <w:t>89.6%</w:t>
            </w:r>
          </w:p>
        </w:tc>
        <w:tc>
          <w:tcPr>
            <w:tcW w:w="1337" w:type="dxa"/>
            <w:shd w:val="clear" w:color="auto" w:fill="EAF2F8"/>
            <w:vAlign w:val="center"/>
          </w:tcPr>
          <w:p w14:paraId="4632C88A" w14:textId="77777777" w:rsidR="00187BD6" w:rsidRDefault="00000000" w:rsidP="001077B5">
            <w:pPr>
              <w:jc w:val="both"/>
            </w:pPr>
            <w:r>
              <w:rPr>
                <w:sz w:val="17"/>
              </w:rPr>
              <w:t>86.6-92.0%</w:t>
            </w:r>
          </w:p>
        </w:tc>
        <w:tc>
          <w:tcPr>
            <w:tcW w:w="1337" w:type="dxa"/>
            <w:shd w:val="clear" w:color="auto" w:fill="EAF2F8"/>
            <w:vAlign w:val="center"/>
          </w:tcPr>
          <w:p w14:paraId="254421AA" w14:textId="77777777" w:rsidR="00187BD6" w:rsidRDefault="00000000" w:rsidP="001077B5">
            <w:pPr>
              <w:jc w:val="both"/>
            </w:pPr>
            <w:r>
              <w:rPr>
                <w:sz w:val="17"/>
              </w:rPr>
              <w:t>+1.2 pp</w:t>
            </w:r>
          </w:p>
        </w:tc>
        <w:tc>
          <w:tcPr>
            <w:tcW w:w="1337" w:type="dxa"/>
            <w:shd w:val="clear" w:color="auto" w:fill="EAF2F8"/>
            <w:vAlign w:val="center"/>
          </w:tcPr>
          <w:p w14:paraId="41CC2DD5" w14:textId="77777777" w:rsidR="00187BD6" w:rsidRDefault="00000000" w:rsidP="001077B5">
            <w:pPr>
              <w:jc w:val="both"/>
            </w:pPr>
            <w:r>
              <w:rPr>
                <w:sz w:val="17"/>
              </w:rPr>
              <w:t>0.307</w:t>
            </w:r>
          </w:p>
        </w:tc>
        <w:tc>
          <w:tcPr>
            <w:tcW w:w="1337" w:type="dxa"/>
            <w:shd w:val="clear" w:color="auto" w:fill="EAF2F8"/>
            <w:vAlign w:val="center"/>
          </w:tcPr>
          <w:p w14:paraId="51070B43" w14:textId="77777777" w:rsidR="00187BD6" w:rsidRDefault="00000000" w:rsidP="001077B5">
            <w:pPr>
              <w:jc w:val="both"/>
            </w:pPr>
            <w:r>
              <w:rPr>
                <w:sz w:val="17"/>
              </w:rPr>
              <w:t>1,000</w:t>
            </w:r>
          </w:p>
        </w:tc>
      </w:tr>
      <w:tr w:rsidR="00187BD6" w14:paraId="76B841BD" w14:textId="77777777" w:rsidTr="001077B5">
        <w:trPr>
          <w:jc w:val="center"/>
        </w:trPr>
        <w:tc>
          <w:tcPr>
            <w:tcW w:w="1337" w:type="dxa"/>
            <w:vAlign w:val="center"/>
          </w:tcPr>
          <w:p w14:paraId="5DEBF881" w14:textId="77777777" w:rsidR="00187BD6" w:rsidRDefault="00000000" w:rsidP="001077B5">
            <w:pPr>
              <w:jc w:val="both"/>
            </w:pPr>
            <w:r>
              <w:rPr>
                <w:sz w:val="17"/>
              </w:rPr>
              <w:t>High-only</w:t>
            </w:r>
          </w:p>
        </w:tc>
        <w:tc>
          <w:tcPr>
            <w:tcW w:w="1337" w:type="dxa"/>
            <w:vAlign w:val="center"/>
          </w:tcPr>
          <w:p w14:paraId="40A94F65" w14:textId="77777777" w:rsidR="00187BD6" w:rsidRDefault="00000000" w:rsidP="001077B5">
            <w:pPr>
              <w:jc w:val="both"/>
            </w:pPr>
            <w:r>
              <w:rPr>
                <w:sz w:val="17"/>
              </w:rPr>
              <w:t>446 / 500</w:t>
            </w:r>
          </w:p>
        </w:tc>
        <w:tc>
          <w:tcPr>
            <w:tcW w:w="1337" w:type="dxa"/>
            <w:vAlign w:val="center"/>
          </w:tcPr>
          <w:p w14:paraId="3A57AA10" w14:textId="77777777" w:rsidR="00187BD6" w:rsidRDefault="00000000" w:rsidP="001077B5">
            <w:pPr>
              <w:jc w:val="both"/>
            </w:pPr>
            <w:r>
              <w:rPr>
                <w:sz w:val="17"/>
              </w:rPr>
              <w:t>89.2%</w:t>
            </w:r>
          </w:p>
        </w:tc>
        <w:tc>
          <w:tcPr>
            <w:tcW w:w="1337" w:type="dxa"/>
            <w:vAlign w:val="center"/>
          </w:tcPr>
          <w:p w14:paraId="5023EF85" w14:textId="77777777" w:rsidR="00187BD6" w:rsidRDefault="00000000" w:rsidP="001077B5">
            <w:pPr>
              <w:jc w:val="both"/>
            </w:pPr>
            <w:r>
              <w:rPr>
                <w:sz w:val="17"/>
              </w:rPr>
              <w:t>86.2-91.6%</w:t>
            </w:r>
          </w:p>
        </w:tc>
        <w:tc>
          <w:tcPr>
            <w:tcW w:w="1337" w:type="dxa"/>
            <w:vAlign w:val="center"/>
          </w:tcPr>
          <w:p w14:paraId="0DA894A4" w14:textId="77777777" w:rsidR="00187BD6" w:rsidRDefault="00000000" w:rsidP="001077B5">
            <w:pPr>
              <w:jc w:val="both"/>
            </w:pPr>
            <w:r>
              <w:rPr>
                <w:sz w:val="17"/>
              </w:rPr>
              <w:t>+0.8 pp</w:t>
            </w:r>
          </w:p>
        </w:tc>
        <w:tc>
          <w:tcPr>
            <w:tcW w:w="1337" w:type="dxa"/>
            <w:vAlign w:val="center"/>
          </w:tcPr>
          <w:p w14:paraId="175B0A75" w14:textId="77777777" w:rsidR="00187BD6" w:rsidRDefault="00000000" w:rsidP="001077B5">
            <w:pPr>
              <w:jc w:val="both"/>
            </w:pPr>
            <w:r>
              <w:rPr>
                <w:sz w:val="17"/>
              </w:rPr>
              <w:t>0.597</w:t>
            </w:r>
          </w:p>
        </w:tc>
        <w:tc>
          <w:tcPr>
            <w:tcW w:w="1337" w:type="dxa"/>
            <w:vAlign w:val="center"/>
          </w:tcPr>
          <w:p w14:paraId="1AACEACC" w14:textId="77777777" w:rsidR="00187BD6" w:rsidRDefault="00000000" w:rsidP="001077B5">
            <w:pPr>
              <w:jc w:val="both"/>
            </w:pPr>
            <w:r>
              <w:rPr>
                <w:sz w:val="17"/>
              </w:rPr>
              <w:t>532</w:t>
            </w:r>
          </w:p>
        </w:tc>
      </w:tr>
      <w:tr w:rsidR="00187BD6" w14:paraId="352E5588" w14:textId="77777777" w:rsidTr="001077B5">
        <w:trPr>
          <w:jc w:val="center"/>
        </w:trPr>
        <w:tc>
          <w:tcPr>
            <w:tcW w:w="1337" w:type="dxa"/>
            <w:shd w:val="clear" w:color="auto" w:fill="EAF2F8"/>
            <w:vAlign w:val="center"/>
          </w:tcPr>
          <w:p w14:paraId="15BEE141" w14:textId="77777777" w:rsidR="00187BD6" w:rsidRDefault="00000000" w:rsidP="001077B5">
            <w:pPr>
              <w:jc w:val="both"/>
            </w:pPr>
            <w:r>
              <w:rPr>
                <w:sz w:val="17"/>
              </w:rPr>
              <w:t>Medium+High</w:t>
            </w:r>
          </w:p>
        </w:tc>
        <w:tc>
          <w:tcPr>
            <w:tcW w:w="1337" w:type="dxa"/>
            <w:shd w:val="clear" w:color="auto" w:fill="EAF2F8"/>
            <w:vAlign w:val="center"/>
          </w:tcPr>
          <w:p w14:paraId="56D43C2D" w14:textId="77777777" w:rsidR="00187BD6" w:rsidRDefault="00000000" w:rsidP="001077B5">
            <w:pPr>
              <w:jc w:val="both"/>
            </w:pPr>
            <w:r>
              <w:rPr>
                <w:sz w:val="17"/>
              </w:rPr>
              <w:t>444 / 500</w:t>
            </w:r>
          </w:p>
        </w:tc>
        <w:tc>
          <w:tcPr>
            <w:tcW w:w="1337" w:type="dxa"/>
            <w:shd w:val="clear" w:color="auto" w:fill="EAF2F8"/>
            <w:vAlign w:val="center"/>
          </w:tcPr>
          <w:p w14:paraId="271561B7" w14:textId="77777777" w:rsidR="00187BD6" w:rsidRDefault="00000000" w:rsidP="001077B5">
            <w:pPr>
              <w:jc w:val="both"/>
            </w:pPr>
            <w:r>
              <w:rPr>
                <w:sz w:val="17"/>
              </w:rPr>
              <w:t>88.8%</w:t>
            </w:r>
          </w:p>
        </w:tc>
        <w:tc>
          <w:tcPr>
            <w:tcW w:w="1337" w:type="dxa"/>
            <w:shd w:val="clear" w:color="auto" w:fill="EAF2F8"/>
            <w:vAlign w:val="center"/>
          </w:tcPr>
          <w:p w14:paraId="7A527B60" w14:textId="77777777" w:rsidR="00187BD6" w:rsidRDefault="00000000" w:rsidP="001077B5">
            <w:pPr>
              <w:jc w:val="both"/>
            </w:pPr>
            <w:r>
              <w:rPr>
                <w:sz w:val="17"/>
              </w:rPr>
              <w:t>85.7-91.3%</w:t>
            </w:r>
          </w:p>
        </w:tc>
        <w:tc>
          <w:tcPr>
            <w:tcW w:w="1337" w:type="dxa"/>
            <w:shd w:val="clear" w:color="auto" w:fill="EAF2F8"/>
            <w:vAlign w:val="center"/>
          </w:tcPr>
          <w:p w14:paraId="4954002B" w14:textId="77777777" w:rsidR="00187BD6" w:rsidRDefault="00000000" w:rsidP="001077B5">
            <w:pPr>
              <w:jc w:val="both"/>
            </w:pPr>
            <w:r>
              <w:rPr>
                <w:sz w:val="17"/>
              </w:rPr>
              <w:t>+0.4 pp</w:t>
            </w:r>
          </w:p>
        </w:tc>
        <w:tc>
          <w:tcPr>
            <w:tcW w:w="1337" w:type="dxa"/>
            <w:shd w:val="clear" w:color="auto" w:fill="EAF2F8"/>
            <w:vAlign w:val="center"/>
          </w:tcPr>
          <w:p w14:paraId="369759D9" w14:textId="77777777" w:rsidR="00187BD6" w:rsidRDefault="00000000" w:rsidP="001077B5">
            <w:pPr>
              <w:jc w:val="both"/>
            </w:pPr>
            <w:r>
              <w:rPr>
                <w:sz w:val="17"/>
              </w:rPr>
              <w:t>0.845</w:t>
            </w:r>
          </w:p>
        </w:tc>
        <w:tc>
          <w:tcPr>
            <w:tcW w:w="1337" w:type="dxa"/>
            <w:shd w:val="clear" w:color="auto" w:fill="EAF2F8"/>
            <w:vAlign w:val="center"/>
          </w:tcPr>
          <w:p w14:paraId="675EA6B5" w14:textId="77777777" w:rsidR="00187BD6" w:rsidRDefault="00000000" w:rsidP="001077B5">
            <w:pPr>
              <w:jc w:val="both"/>
            </w:pPr>
            <w:r>
              <w:rPr>
                <w:sz w:val="17"/>
              </w:rPr>
              <w:t>678</w:t>
            </w:r>
          </w:p>
        </w:tc>
      </w:tr>
    </w:tbl>
    <w:p w14:paraId="4D940BD6" w14:textId="77777777" w:rsidR="00187BD6" w:rsidRDefault="00187BD6" w:rsidP="001077B5">
      <w:pPr>
        <w:spacing w:after="40"/>
        <w:jc w:val="both"/>
      </w:pPr>
    </w:p>
    <w:p w14:paraId="4396EAE2" w14:textId="77777777" w:rsidR="00187BD6" w:rsidRDefault="00000000" w:rsidP="001077B5">
      <w:pPr>
        <w:spacing w:after="100" w:line="300" w:lineRule="auto"/>
        <w:ind w:firstLine="360"/>
        <w:jc w:val="both"/>
      </w:pPr>
      <w:r>
        <w:t>High-only triggered verification on 32/500 items (6.4%) and Medium+High on 178/500 items (35.6%). Relative to Always-Verify, they reduced calls by 468 (46.8%) and 322 (32.2%), respectively. These reductions are direct consequences of the frozen policy and are not estimates of clinical risk-recognition performance.</w:t>
      </w:r>
    </w:p>
    <w:p w14:paraId="0FBDA749" w14:textId="77777777" w:rsidR="00187BD6" w:rsidRDefault="00000000" w:rsidP="001077B5">
      <w:pPr>
        <w:pStyle w:val="21"/>
        <w:keepNext w:val="0"/>
        <w:keepLines w:val="0"/>
        <w:widowControl w:val="0"/>
        <w:spacing w:after="100"/>
        <w:jc w:val="both"/>
      </w:pPr>
      <w:r>
        <w:rPr>
          <w:rFonts w:ascii="Times New Roman" w:eastAsia="宋体" w:hAnsi="Times New Roman"/>
        </w:rPr>
        <w:t>5.3 Cross-model replication</w:t>
      </w:r>
    </w:p>
    <w:p w14:paraId="79C7646C" w14:textId="77777777" w:rsidR="00187BD6" w:rsidRDefault="00000000" w:rsidP="001077B5">
      <w:pPr>
        <w:spacing w:after="100" w:line="300" w:lineRule="auto"/>
        <w:ind w:firstLine="360"/>
        <w:jc w:val="both"/>
      </w:pPr>
      <w:r>
        <w:t>For Kimi K2.6, Direct, Always-Verify, High-only, and Medium+High achieved 94.0%, 94.2%, 94.0%, and 93.6%. Corresponding paired p values were 1.000, 1.000, and 0.500. For DeepSeek-V4-Flash-0731, the four policies achieved 89.6%, 89.4%, 89.2%, and 89.2%, with p values of 1.000, 0.500, and 0.625. The same frozen policy matched 32 high-risk and 178 medium-or-high items for all three models, reproducing the policy-level call budget.</w:t>
      </w:r>
    </w:p>
    <w:p w14:paraId="71647952" w14:textId="77777777" w:rsidR="00187BD6" w:rsidRDefault="00000000" w:rsidP="001077B5">
      <w:pPr>
        <w:spacing w:before="120" w:after="60"/>
        <w:jc w:val="center"/>
      </w:pPr>
      <w:r>
        <w:rPr>
          <w:b/>
          <w:sz w:val="20"/>
        </w:rPr>
        <w:t>Table 3. Cross-model results on the source_id-disjoint 500-item set</w:t>
      </w:r>
    </w:p>
    <w:tbl>
      <w:tblPr>
        <w:tblStyle w:val="aff1"/>
        <w:tblW w:w="0" w:type="auto"/>
        <w:jc w:val="center"/>
        <w:tblLook w:val="04A0" w:firstRow="1" w:lastRow="0" w:firstColumn="1" w:lastColumn="0" w:noHBand="0" w:noVBand="1"/>
      </w:tblPr>
      <w:tblGrid>
        <w:gridCol w:w="1337"/>
        <w:gridCol w:w="1337"/>
        <w:gridCol w:w="1337"/>
        <w:gridCol w:w="1337"/>
        <w:gridCol w:w="1337"/>
        <w:gridCol w:w="1337"/>
        <w:gridCol w:w="1337"/>
      </w:tblGrid>
      <w:tr w:rsidR="00187BD6" w14:paraId="747BCF82" w14:textId="77777777" w:rsidTr="001077B5">
        <w:trPr>
          <w:tblHeader/>
          <w:jc w:val="center"/>
        </w:trPr>
        <w:tc>
          <w:tcPr>
            <w:tcW w:w="1337" w:type="dxa"/>
            <w:shd w:val="clear" w:color="auto" w:fill="1F4E79"/>
            <w:vAlign w:val="center"/>
          </w:tcPr>
          <w:p w14:paraId="368F22D2" w14:textId="77777777" w:rsidR="00187BD6" w:rsidRDefault="00000000" w:rsidP="001077B5">
            <w:pPr>
              <w:jc w:val="both"/>
            </w:pPr>
            <w:r>
              <w:rPr>
                <w:b/>
                <w:color w:val="FFFFFF"/>
                <w:sz w:val="17"/>
              </w:rPr>
              <w:t>Model</w:t>
            </w:r>
          </w:p>
        </w:tc>
        <w:tc>
          <w:tcPr>
            <w:tcW w:w="1337" w:type="dxa"/>
            <w:shd w:val="clear" w:color="auto" w:fill="1F4E79"/>
            <w:vAlign w:val="center"/>
          </w:tcPr>
          <w:p w14:paraId="2C3798A6" w14:textId="77777777" w:rsidR="00187BD6" w:rsidRDefault="00000000" w:rsidP="001077B5">
            <w:pPr>
              <w:jc w:val="both"/>
            </w:pPr>
            <w:r>
              <w:rPr>
                <w:b/>
                <w:color w:val="FFFFFF"/>
                <w:sz w:val="17"/>
              </w:rPr>
              <w:t>Policy</w:t>
            </w:r>
          </w:p>
        </w:tc>
        <w:tc>
          <w:tcPr>
            <w:tcW w:w="1337" w:type="dxa"/>
            <w:shd w:val="clear" w:color="auto" w:fill="1F4E79"/>
            <w:vAlign w:val="center"/>
          </w:tcPr>
          <w:p w14:paraId="6BE7E148" w14:textId="77777777" w:rsidR="00187BD6" w:rsidRDefault="00000000" w:rsidP="001077B5">
            <w:pPr>
              <w:jc w:val="both"/>
            </w:pPr>
            <w:r>
              <w:rPr>
                <w:b/>
                <w:color w:val="FFFFFF"/>
                <w:sz w:val="17"/>
              </w:rPr>
              <w:t>Correct / n</w:t>
            </w:r>
          </w:p>
        </w:tc>
        <w:tc>
          <w:tcPr>
            <w:tcW w:w="1337" w:type="dxa"/>
            <w:shd w:val="clear" w:color="auto" w:fill="1F4E79"/>
            <w:vAlign w:val="center"/>
          </w:tcPr>
          <w:p w14:paraId="39BA8436" w14:textId="77777777" w:rsidR="00187BD6" w:rsidRDefault="00000000" w:rsidP="001077B5">
            <w:pPr>
              <w:jc w:val="both"/>
            </w:pPr>
            <w:r>
              <w:rPr>
                <w:b/>
                <w:color w:val="FFFFFF"/>
                <w:sz w:val="17"/>
              </w:rPr>
              <w:t>Accuracy</w:t>
            </w:r>
          </w:p>
        </w:tc>
        <w:tc>
          <w:tcPr>
            <w:tcW w:w="1337" w:type="dxa"/>
            <w:shd w:val="clear" w:color="auto" w:fill="1F4E79"/>
            <w:vAlign w:val="center"/>
          </w:tcPr>
          <w:p w14:paraId="436EEB9A" w14:textId="77777777" w:rsidR="00187BD6" w:rsidRDefault="00000000" w:rsidP="001077B5">
            <w:pPr>
              <w:jc w:val="both"/>
            </w:pPr>
            <w:r>
              <w:rPr>
                <w:b/>
                <w:color w:val="FFFFFF"/>
                <w:sz w:val="17"/>
              </w:rPr>
              <w:t>Delta</w:t>
            </w:r>
          </w:p>
        </w:tc>
        <w:tc>
          <w:tcPr>
            <w:tcW w:w="1337" w:type="dxa"/>
            <w:shd w:val="clear" w:color="auto" w:fill="1F4E79"/>
            <w:vAlign w:val="center"/>
          </w:tcPr>
          <w:p w14:paraId="11514093" w14:textId="77777777" w:rsidR="00187BD6" w:rsidRDefault="00000000" w:rsidP="001077B5">
            <w:pPr>
              <w:jc w:val="both"/>
            </w:pPr>
            <w:r>
              <w:rPr>
                <w:b/>
                <w:color w:val="FFFFFF"/>
                <w:sz w:val="17"/>
              </w:rPr>
              <w:t>p</w:t>
            </w:r>
          </w:p>
        </w:tc>
        <w:tc>
          <w:tcPr>
            <w:tcW w:w="1337" w:type="dxa"/>
            <w:shd w:val="clear" w:color="auto" w:fill="1F4E79"/>
            <w:vAlign w:val="center"/>
          </w:tcPr>
          <w:p w14:paraId="752701C5" w14:textId="77777777" w:rsidR="00187BD6" w:rsidRDefault="00000000" w:rsidP="001077B5">
            <w:pPr>
              <w:jc w:val="both"/>
            </w:pPr>
            <w:r>
              <w:rPr>
                <w:b/>
                <w:color w:val="FFFFFF"/>
                <w:sz w:val="17"/>
              </w:rPr>
              <w:t>Calls</w:t>
            </w:r>
          </w:p>
        </w:tc>
      </w:tr>
      <w:tr w:rsidR="00187BD6" w14:paraId="04B90248" w14:textId="77777777" w:rsidTr="001077B5">
        <w:trPr>
          <w:jc w:val="center"/>
        </w:trPr>
        <w:tc>
          <w:tcPr>
            <w:tcW w:w="1337" w:type="dxa"/>
            <w:vAlign w:val="center"/>
          </w:tcPr>
          <w:p w14:paraId="4CD4B2A0" w14:textId="77777777" w:rsidR="00187BD6" w:rsidRDefault="00000000" w:rsidP="001077B5">
            <w:pPr>
              <w:jc w:val="both"/>
            </w:pPr>
            <w:r>
              <w:rPr>
                <w:sz w:val="17"/>
              </w:rPr>
              <w:t>Kimi K2.6</w:t>
            </w:r>
          </w:p>
        </w:tc>
        <w:tc>
          <w:tcPr>
            <w:tcW w:w="1337" w:type="dxa"/>
            <w:vAlign w:val="center"/>
          </w:tcPr>
          <w:p w14:paraId="16D57C78" w14:textId="77777777" w:rsidR="00187BD6" w:rsidRDefault="00000000" w:rsidP="001077B5">
            <w:pPr>
              <w:jc w:val="both"/>
            </w:pPr>
            <w:r>
              <w:rPr>
                <w:sz w:val="17"/>
              </w:rPr>
              <w:t>Direct</w:t>
            </w:r>
          </w:p>
        </w:tc>
        <w:tc>
          <w:tcPr>
            <w:tcW w:w="1337" w:type="dxa"/>
            <w:vAlign w:val="center"/>
          </w:tcPr>
          <w:p w14:paraId="1714C0FE" w14:textId="77777777" w:rsidR="00187BD6" w:rsidRDefault="00000000" w:rsidP="001077B5">
            <w:pPr>
              <w:jc w:val="both"/>
            </w:pPr>
            <w:r>
              <w:rPr>
                <w:sz w:val="17"/>
              </w:rPr>
              <w:t>470 / 500</w:t>
            </w:r>
          </w:p>
        </w:tc>
        <w:tc>
          <w:tcPr>
            <w:tcW w:w="1337" w:type="dxa"/>
            <w:vAlign w:val="center"/>
          </w:tcPr>
          <w:p w14:paraId="123C88FF" w14:textId="77777777" w:rsidR="00187BD6" w:rsidRDefault="00000000" w:rsidP="001077B5">
            <w:pPr>
              <w:jc w:val="both"/>
            </w:pPr>
            <w:r>
              <w:rPr>
                <w:sz w:val="17"/>
              </w:rPr>
              <w:t>94.0%</w:t>
            </w:r>
          </w:p>
        </w:tc>
        <w:tc>
          <w:tcPr>
            <w:tcW w:w="1337" w:type="dxa"/>
            <w:vAlign w:val="center"/>
          </w:tcPr>
          <w:p w14:paraId="3760655F" w14:textId="77777777" w:rsidR="00187BD6" w:rsidRDefault="00000000" w:rsidP="001077B5">
            <w:pPr>
              <w:jc w:val="both"/>
            </w:pPr>
            <w:r>
              <w:rPr>
                <w:sz w:val="17"/>
              </w:rPr>
              <w:t>-</w:t>
            </w:r>
          </w:p>
        </w:tc>
        <w:tc>
          <w:tcPr>
            <w:tcW w:w="1337" w:type="dxa"/>
            <w:vAlign w:val="center"/>
          </w:tcPr>
          <w:p w14:paraId="081DB2F9" w14:textId="77777777" w:rsidR="00187BD6" w:rsidRDefault="00000000" w:rsidP="001077B5">
            <w:pPr>
              <w:jc w:val="both"/>
            </w:pPr>
            <w:r>
              <w:rPr>
                <w:sz w:val="17"/>
              </w:rPr>
              <w:t>-</w:t>
            </w:r>
          </w:p>
        </w:tc>
        <w:tc>
          <w:tcPr>
            <w:tcW w:w="1337" w:type="dxa"/>
            <w:vAlign w:val="center"/>
          </w:tcPr>
          <w:p w14:paraId="7667BC8A" w14:textId="77777777" w:rsidR="00187BD6" w:rsidRDefault="00000000" w:rsidP="001077B5">
            <w:pPr>
              <w:jc w:val="both"/>
            </w:pPr>
            <w:r>
              <w:rPr>
                <w:sz w:val="17"/>
              </w:rPr>
              <w:t>500</w:t>
            </w:r>
          </w:p>
        </w:tc>
      </w:tr>
      <w:tr w:rsidR="00187BD6" w14:paraId="4D059801" w14:textId="77777777" w:rsidTr="001077B5">
        <w:trPr>
          <w:jc w:val="center"/>
        </w:trPr>
        <w:tc>
          <w:tcPr>
            <w:tcW w:w="1337" w:type="dxa"/>
            <w:shd w:val="clear" w:color="auto" w:fill="EAF2F8"/>
            <w:vAlign w:val="center"/>
          </w:tcPr>
          <w:p w14:paraId="48993948" w14:textId="77777777" w:rsidR="00187BD6" w:rsidRDefault="00000000" w:rsidP="001077B5">
            <w:pPr>
              <w:jc w:val="both"/>
            </w:pPr>
            <w:r>
              <w:rPr>
                <w:sz w:val="17"/>
              </w:rPr>
              <w:t>Kimi K2.6</w:t>
            </w:r>
          </w:p>
        </w:tc>
        <w:tc>
          <w:tcPr>
            <w:tcW w:w="1337" w:type="dxa"/>
            <w:shd w:val="clear" w:color="auto" w:fill="EAF2F8"/>
            <w:vAlign w:val="center"/>
          </w:tcPr>
          <w:p w14:paraId="393750AE" w14:textId="77777777" w:rsidR="00187BD6" w:rsidRDefault="00000000" w:rsidP="001077B5">
            <w:pPr>
              <w:jc w:val="both"/>
            </w:pPr>
            <w:r>
              <w:rPr>
                <w:sz w:val="17"/>
              </w:rPr>
              <w:t>Always-Verify</w:t>
            </w:r>
          </w:p>
        </w:tc>
        <w:tc>
          <w:tcPr>
            <w:tcW w:w="1337" w:type="dxa"/>
            <w:shd w:val="clear" w:color="auto" w:fill="EAF2F8"/>
            <w:vAlign w:val="center"/>
          </w:tcPr>
          <w:p w14:paraId="1A1EEEAB" w14:textId="77777777" w:rsidR="00187BD6" w:rsidRDefault="00000000" w:rsidP="001077B5">
            <w:pPr>
              <w:jc w:val="both"/>
            </w:pPr>
            <w:r>
              <w:rPr>
                <w:sz w:val="17"/>
              </w:rPr>
              <w:t>471 / 500</w:t>
            </w:r>
          </w:p>
        </w:tc>
        <w:tc>
          <w:tcPr>
            <w:tcW w:w="1337" w:type="dxa"/>
            <w:shd w:val="clear" w:color="auto" w:fill="EAF2F8"/>
            <w:vAlign w:val="center"/>
          </w:tcPr>
          <w:p w14:paraId="2FB6C63A" w14:textId="77777777" w:rsidR="00187BD6" w:rsidRDefault="00000000" w:rsidP="001077B5">
            <w:pPr>
              <w:jc w:val="both"/>
            </w:pPr>
            <w:r>
              <w:rPr>
                <w:sz w:val="17"/>
              </w:rPr>
              <w:t>94.2%</w:t>
            </w:r>
          </w:p>
        </w:tc>
        <w:tc>
          <w:tcPr>
            <w:tcW w:w="1337" w:type="dxa"/>
            <w:shd w:val="clear" w:color="auto" w:fill="EAF2F8"/>
            <w:vAlign w:val="center"/>
          </w:tcPr>
          <w:p w14:paraId="11DF6A14" w14:textId="77777777" w:rsidR="00187BD6" w:rsidRDefault="00000000" w:rsidP="001077B5">
            <w:pPr>
              <w:jc w:val="both"/>
            </w:pPr>
            <w:r>
              <w:rPr>
                <w:sz w:val="17"/>
              </w:rPr>
              <w:t>+0.2 pp</w:t>
            </w:r>
          </w:p>
        </w:tc>
        <w:tc>
          <w:tcPr>
            <w:tcW w:w="1337" w:type="dxa"/>
            <w:shd w:val="clear" w:color="auto" w:fill="EAF2F8"/>
            <w:vAlign w:val="center"/>
          </w:tcPr>
          <w:p w14:paraId="42F52DEC" w14:textId="77777777" w:rsidR="00187BD6" w:rsidRDefault="00000000" w:rsidP="001077B5">
            <w:pPr>
              <w:jc w:val="both"/>
            </w:pPr>
            <w:r>
              <w:rPr>
                <w:sz w:val="17"/>
              </w:rPr>
              <w:t>1.000</w:t>
            </w:r>
          </w:p>
        </w:tc>
        <w:tc>
          <w:tcPr>
            <w:tcW w:w="1337" w:type="dxa"/>
            <w:shd w:val="clear" w:color="auto" w:fill="EAF2F8"/>
            <w:vAlign w:val="center"/>
          </w:tcPr>
          <w:p w14:paraId="52EF9A77" w14:textId="77777777" w:rsidR="00187BD6" w:rsidRDefault="00000000" w:rsidP="001077B5">
            <w:pPr>
              <w:jc w:val="both"/>
            </w:pPr>
            <w:r>
              <w:rPr>
                <w:sz w:val="17"/>
              </w:rPr>
              <w:t>1,000</w:t>
            </w:r>
          </w:p>
        </w:tc>
      </w:tr>
      <w:tr w:rsidR="00187BD6" w14:paraId="361C0D19" w14:textId="77777777" w:rsidTr="001077B5">
        <w:trPr>
          <w:jc w:val="center"/>
        </w:trPr>
        <w:tc>
          <w:tcPr>
            <w:tcW w:w="1337" w:type="dxa"/>
            <w:vAlign w:val="center"/>
          </w:tcPr>
          <w:p w14:paraId="6AA530DB" w14:textId="77777777" w:rsidR="00187BD6" w:rsidRDefault="00000000" w:rsidP="001077B5">
            <w:pPr>
              <w:jc w:val="both"/>
            </w:pPr>
            <w:r>
              <w:rPr>
                <w:sz w:val="17"/>
              </w:rPr>
              <w:t>Kimi K2.6</w:t>
            </w:r>
          </w:p>
        </w:tc>
        <w:tc>
          <w:tcPr>
            <w:tcW w:w="1337" w:type="dxa"/>
            <w:vAlign w:val="center"/>
          </w:tcPr>
          <w:p w14:paraId="5E50413C" w14:textId="77777777" w:rsidR="00187BD6" w:rsidRDefault="00000000" w:rsidP="001077B5">
            <w:pPr>
              <w:jc w:val="both"/>
            </w:pPr>
            <w:r>
              <w:rPr>
                <w:sz w:val="17"/>
              </w:rPr>
              <w:t>High-only</w:t>
            </w:r>
          </w:p>
        </w:tc>
        <w:tc>
          <w:tcPr>
            <w:tcW w:w="1337" w:type="dxa"/>
            <w:vAlign w:val="center"/>
          </w:tcPr>
          <w:p w14:paraId="47E3886B" w14:textId="77777777" w:rsidR="00187BD6" w:rsidRDefault="00000000" w:rsidP="001077B5">
            <w:pPr>
              <w:jc w:val="both"/>
            </w:pPr>
            <w:r>
              <w:rPr>
                <w:sz w:val="17"/>
              </w:rPr>
              <w:t>470 / 500</w:t>
            </w:r>
          </w:p>
        </w:tc>
        <w:tc>
          <w:tcPr>
            <w:tcW w:w="1337" w:type="dxa"/>
            <w:vAlign w:val="center"/>
          </w:tcPr>
          <w:p w14:paraId="7EF540BE" w14:textId="77777777" w:rsidR="00187BD6" w:rsidRDefault="00000000" w:rsidP="001077B5">
            <w:pPr>
              <w:jc w:val="both"/>
            </w:pPr>
            <w:r>
              <w:rPr>
                <w:sz w:val="17"/>
              </w:rPr>
              <w:t>94.0%</w:t>
            </w:r>
          </w:p>
        </w:tc>
        <w:tc>
          <w:tcPr>
            <w:tcW w:w="1337" w:type="dxa"/>
            <w:vAlign w:val="center"/>
          </w:tcPr>
          <w:p w14:paraId="21C1AAFE" w14:textId="77777777" w:rsidR="00187BD6" w:rsidRDefault="00000000" w:rsidP="001077B5">
            <w:pPr>
              <w:jc w:val="both"/>
            </w:pPr>
            <w:r>
              <w:rPr>
                <w:sz w:val="17"/>
              </w:rPr>
              <w:t>0.0 pp</w:t>
            </w:r>
          </w:p>
        </w:tc>
        <w:tc>
          <w:tcPr>
            <w:tcW w:w="1337" w:type="dxa"/>
            <w:vAlign w:val="center"/>
          </w:tcPr>
          <w:p w14:paraId="1DC99064" w14:textId="77777777" w:rsidR="00187BD6" w:rsidRDefault="00000000" w:rsidP="001077B5">
            <w:pPr>
              <w:jc w:val="both"/>
            </w:pPr>
            <w:r>
              <w:rPr>
                <w:sz w:val="17"/>
              </w:rPr>
              <w:t>1.000</w:t>
            </w:r>
          </w:p>
        </w:tc>
        <w:tc>
          <w:tcPr>
            <w:tcW w:w="1337" w:type="dxa"/>
            <w:vAlign w:val="center"/>
          </w:tcPr>
          <w:p w14:paraId="58B5160E" w14:textId="77777777" w:rsidR="00187BD6" w:rsidRDefault="00000000" w:rsidP="001077B5">
            <w:pPr>
              <w:jc w:val="both"/>
            </w:pPr>
            <w:r>
              <w:rPr>
                <w:sz w:val="17"/>
              </w:rPr>
              <w:t>532</w:t>
            </w:r>
          </w:p>
        </w:tc>
      </w:tr>
      <w:tr w:rsidR="00187BD6" w14:paraId="0F220871" w14:textId="77777777" w:rsidTr="001077B5">
        <w:trPr>
          <w:jc w:val="center"/>
        </w:trPr>
        <w:tc>
          <w:tcPr>
            <w:tcW w:w="1337" w:type="dxa"/>
            <w:shd w:val="clear" w:color="auto" w:fill="EAF2F8"/>
            <w:vAlign w:val="center"/>
          </w:tcPr>
          <w:p w14:paraId="6D2F5524" w14:textId="77777777" w:rsidR="00187BD6" w:rsidRDefault="00000000" w:rsidP="001077B5">
            <w:pPr>
              <w:jc w:val="both"/>
            </w:pPr>
            <w:r>
              <w:rPr>
                <w:sz w:val="17"/>
              </w:rPr>
              <w:t>Kimi K2.6</w:t>
            </w:r>
          </w:p>
        </w:tc>
        <w:tc>
          <w:tcPr>
            <w:tcW w:w="1337" w:type="dxa"/>
            <w:shd w:val="clear" w:color="auto" w:fill="EAF2F8"/>
            <w:vAlign w:val="center"/>
          </w:tcPr>
          <w:p w14:paraId="4BE236D8" w14:textId="77777777" w:rsidR="00187BD6" w:rsidRDefault="00000000" w:rsidP="001077B5">
            <w:pPr>
              <w:jc w:val="both"/>
            </w:pPr>
            <w:r>
              <w:rPr>
                <w:sz w:val="17"/>
              </w:rPr>
              <w:t>Medium+High</w:t>
            </w:r>
          </w:p>
        </w:tc>
        <w:tc>
          <w:tcPr>
            <w:tcW w:w="1337" w:type="dxa"/>
            <w:shd w:val="clear" w:color="auto" w:fill="EAF2F8"/>
            <w:vAlign w:val="center"/>
          </w:tcPr>
          <w:p w14:paraId="405EE48B" w14:textId="77777777" w:rsidR="00187BD6" w:rsidRDefault="00000000" w:rsidP="001077B5">
            <w:pPr>
              <w:jc w:val="both"/>
            </w:pPr>
            <w:r>
              <w:rPr>
                <w:sz w:val="17"/>
              </w:rPr>
              <w:t>468 / 500</w:t>
            </w:r>
          </w:p>
        </w:tc>
        <w:tc>
          <w:tcPr>
            <w:tcW w:w="1337" w:type="dxa"/>
            <w:shd w:val="clear" w:color="auto" w:fill="EAF2F8"/>
            <w:vAlign w:val="center"/>
          </w:tcPr>
          <w:p w14:paraId="13728DCD" w14:textId="77777777" w:rsidR="00187BD6" w:rsidRDefault="00000000" w:rsidP="001077B5">
            <w:pPr>
              <w:jc w:val="both"/>
            </w:pPr>
            <w:r>
              <w:rPr>
                <w:sz w:val="17"/>
              </w:rPr>
              <w:t>93.6%</w:t>
            </w:r>
          </w:p>
        </w:tc>
        <w:tc>
          <w:tcPr>
            <w:tcW w:w="1337" w:type="dxa"/>
            <w:shd w:val="clear" w:color="auto" w:fill="EAF2F8"/>
            <w:vAlign w:val="center"/>
          </w:tcPr>
          <w:p w14:paraId="2CB6BB21" w14:textId="77777777" w:rsidR="00187BD6" w:rsidRDefault="00000000" w:rsidP="001077B5">
            <w:pPr>
              <w:jc w:val="both"/>
            </w:pPr>
            <w:r>
              <w:rPr>
                <w:sz w:val="17"/>
              </w:rPr>
              <w:t>-0.4 pp</w:t>
            </w:r>
          </w:p>
        </w:tc>
        <w:tc>
          <w:tcPr>
            <w:tcW w:w="1337" w:type="dxa"/>
            <w:shd w:val="clear" w:color="auto" w:fill="EAF2F8"/>
            <w:vAlign w:val="center"/>
          </w:tcPr>
          <w:p w14:paraId="7935A9AA" w14:textId="77777777" w:rsidR="00187BD6" w:rsidRDefault="00000000" w:rsidP="001077B5">
            <w:pPr>
              <w:jc w:val="both"/>
            </w:pPr>
            <w:r>
              <w:rPr>
                <w:sz w:val="17"/>
              </w:rPr>
              <w:t>0.500</w:t>
            </w:r>
          </w:p>
        </w:tc>
        <w:tc>
          <w:tcPr>
            <w:tcW w:w="1337" w:type="dxa"/>
            <w:shd w:val="clear" w:color="auto" w:fill="EAF2F8"/>
            <w:vAlign w:val="center"/>
          </w:tcPr>
          <w:p w14:paraId="1ABAE64E" w14:textId="77777777" w:rsidR="00187BD6" w:rsidRDefault="00000000" w:rsidP="001077B5">
            <w:pPr>
              <w:jc w:val="both"/>
            </w:pPr>
            <w:r>
              <w:rPr>
                <w:sz w:val="17"/>
              </w:rPr>
              <w:t>678</w:t>
            </w:r>
          </w:p>
        </w:tc>
      </w:tr>
      <w:tr w:rsidR="00187BD6" w14:paraId="15526F2F" w14:textId="77777777" w:rsidTr="001077B5">
        <w:trPr>
          <w:jc w:val="center"/>
        </w:trPr>
        <w:tc>
          <w:tcPr>
            <w:tcW w:w="1337" w:type="dxa"/>
            <w:vAlign w:val="center"/>
          </w:tcPr>
          <w:p w14:paraId="27AAA32E" w14:textId="77777777" w:rsidR="00187BD6" w:rsidRDefault="00000000" w:rsidP="001077B5">
            <w:pPr>
              <w:jc w:val="both"/>
            </w:pPr>
            <w:r>
              <w:rPr>
                <w:sz w:val="17"/>
              </w:rPr>
              <w:t>DeepSeek-V4-Flash-0731</w:t>
            </w:r>
          </w:p>
        </w:tc>
        <w:tc>
          <w:tcPr>
            <w:tcW w:w="1337" w:type="dxa"/>
            <w:vAlign w:val="center"/>
          </w:tcPr>
          <w:p w14:paraId="5842E42A" w14:textId="77777777" w:rsidR="00187BD6" w:rsidRDefault="00000000" w:rsidP="001077B5">
            <w:pPr>
              <w:jc w:val="both"/>
            </w:pPr>
            <w:r>
              <w:rPr>
                <w:sz w:val="17"/>
              </w:rPr>
              <w:t>Direct</w:t>
            </w:r>
          </w:p>
        </w:tc>
        <w:tc>
          <w:tcPr>
            <w:tcW w:w="1337" w:type="dxa"/>
            <w:vAlign w:val="center"/>
          </w:tcPr>
          <w:p w14:paraId="193811E7" w14:textId="77777777" w:rsidR="00187BD6" w:rsidRDefault="00000000" w:rsidP="001077B5">
            <w:pPr>
              <w:jc w:val="both"/>
            </w:pPr>
            <w:r>
              <w:rPr>
                <w:sz w:val="17"/>
              </w:rPr>
              <w:t>448 / 500</w:t>
            </w:r>
          </w:p>
        </w:tc>
        <w:tc>
          <w:tcPr>
            <w:tcW w:w="1337" w:type="dxa"/>
            <w:vAlign w:val="center"/>
          </w:tcPr>
          <w:p w14:paraId="17137AF3" w14:textId="77777777" w:rsidR="00187BD6" w:rsidRDefault="00000000" w:rsidP="001077B5">
            <w:pPr>
              <w:jc w:val="both"/>
            </w:pPr>
            <w:r>
              <w:rPr>
                <w:sz w:val="17"/>
              </w:rPr>
              <w:t>89.6%</w:t>
            </w:r>
          </w:p>
        </w:tc>
        <w:tc>
          <w:tcPr>
            <w:tcW w:w="1337" w:type="dxa"/>
            <w:vAlign w:val="center"/>
          </w:tcPr>
          <w:p w14:paraId="6160804F" w14:textId="77777777" w:rsidR="00187BD6" w:rsidRDefault="00000000" w:rsidP="001077B5">
            <w:pPr>
              <w:jc w:val="both"/>
            </w:pPr>
            <w:r>
              <w:rPr>
                <w:sz w:val="17"/>
              </w:rPr>
              <w:t>-</w:t>
            </w:r>
          </w:p>
        </w:tc>
        <w:tc>
          <w:tcPr>
            <w:tcW w:w="1337" w:type="dxa"/>
            <w:vAlign w:val="center"/>
          </w:tcPr>
          <w:p w14:paraId="4E275434" w14:textId="77777777" w:rsidR="00187BD6" w:rsidRDefault="00000000" w:rsidP="001077B5">
            <w:pPr>
              <w:jc w:val="both"/>
            </w:pPr>
            <w:r>
              <w:rPr>
                <w:sz w:val="17"/>
              </w:rPr>
              <w:t>-</w:t>
            </w:r>
          </w:p>
        </w:tc>
        <w:tc>
          <w:tcPr>
            <w:tcW w:w="1337" w:type="dxa"/>
            <w:vAlign w:val="center"/>
          </w:tcPr>
          <w:p w14:paraId="55D6323F" w14:textId="77777777" w:rsidR="00187BD6" w:rsidRDefault="00000000" w:rsidP="001077B5">
            <w:pPr>
              <w:jc w:val="both"/>
            </w:pPr>
            <w:r>
              <w:rPr>
                <w:sz w:val="17"/>
              </w:rPr>
              <w:t>500</w:t>
            </w:r>
          </w:p>
        </w:tc>
      </w:tr>
      <w:tr w:rsidR="00187BD6" w14:paraId="7932B05C" w14:textId="77777777" w:rsidTr="001077B5">
        <w:trPr>
          <w:jc w:val="center"/>
        </w:trPr>
        <w:tc>
          <w:tcPr>
            <w:tcW w:w="1337" w:type="dxa"/>
            <w:shd w:val="clear" w:color="auto" w:fill="EAF2F8"/>
            <w:vAlign w:val="center"/>
          </w:tcPr>
          <w:p w14:paraId="16801ED1" w14:textId="77777777" w:rsidR="00187BD6" w:rsidRDefault="00000000" w:rsidP="001077B5">
            <w:pPr>
              <w:jc w:val="both"/>
            </w:pPr>
            <w:r>
              <w:rPr>
                <w:sz w:val="17"/>
              </w:rPr>
              <w:t>DeepSeek-V4-Flash-0731</w:t>
            </w:r>
          </w:p>
        </w:tc>
        <w:tc>
          <w:tcPr>
            <w:tcW w:w="1337" w:type="dxa"/>
            <w:shd w:val="clear" w:color="auto" w:fill="EAF2F8"/>
            <w:vAlign w:val="center"/>
          </w:tcPr>
          <w:p w14:paraId="4C2AE901" w14:textId="77777777" w:rsidR="00187BD6" w:rsidRDefault="00000000" w:rsidP="001077B5">
            <w:pPr>
              <w:jc w:val="both"/>
            </w:pPr>
            <w:r>
              <w:rPr>
                <w:sz w:val="17"/>
              </w:rPr>
              <w:t>Always-Verify</w:t>
            </w:r>
          </w:p>
        </w:tc>
        <w:tc>
          <w:tcPr>
            <w:tcW w:w="1337" w:type="dxa"/>
            <w:shd w:val="clear" w:color="auto" w:fill="EAF2F8"/>
            <w:vAlign w:val="center"/>
          </w:tcPr>
          <w:p w14:paraId="2539A43B" w14:textId="77777777" w:rsidR="00187BD6" w:rsidRDefault="00000000" w:rsidP="001077B5">
            <w:pPr>
              <w:jc w:val="both"/>
            </w:pPr>
            <w:r>
              <w:rPr>
                <w:sz w:val="17"/>
              </w:rPr>
              <w:t>447 / 500</w:t>
            </w:r>
          </w:p>
        </w:tc>
        <w:tc>
          <w:tcPr>
            <w:tcW w:w="1337" w:type="dxa"/>
            <w:shd w:val="clear" w:color="auto" w:fill="EAF2F8"/>
            <w:vAlign w:val="center"/>
          </w:tcPr>
          <w:p w14:paraId="2F5E2F3F" w14:textId="77777777" w:rsidR="00187BD6" w:rsidRDefault="00000000" w:rsidP="001077B5">
            <w:pPr>
              <w:jc w:val="both"/>
            </w:pPr>
            <w:r>
              <w:rPr>
                <w:sz w:val="17"/>
              </w:rPr>
              <w:t>89.4%</w:t>
            </w:r>
          </w:p>
        </w:tc>
        <w:tc>
          <w:tcPr>
            <w:tcW w:w="1337" w:type="dxa"/>
            <w:shd w:val="clear" w:color="auto" w:fill="EAF2F8"/>
            <w:vAlign w:val="center"/>
          </w:tcPr>
          <w:p w14:paraId="4B47461F" w14:textId="77777777" w:rsidR="00187BD6" w:rsidRDefault="00000000" w:rsidP="001077B5">
            <w:pPr>
              <w:jc w:val="both"/>
            </w:pPr>
            <w:r>
              <w:rPr>
                <w:sz w:val="17"/>
              </w:rPr>
              <w:t>-0.2 pp</w:t>
            </w:r>
          </w:p>
        </w:tc>
        <w:tc>
          <w:tcPr>
            <w:tcW w:w="1337" w:type="dxa"/>
            <w:shd w:val="clear" w:color="auto" w:fill="EAF2F8"/>
            <w:vAlign w:val="center"/>
          </w:tcPr>
          <w:p w14:paraId="085A02FC" w14:textId="77777777" w:rsidR="00187BD6" w:rsidRDefault="00000000" w:rsidP="001077B5">
            <w:pPr>
              <w:jc w:val="both"/>
            </w:pPr>
            <w:r>
              <w:rPr>
                <w:sz w:val="17"/>
              </w:rPr>
              <w:t>1.000</w:t>
            </w:r>
          </w:p>
        </w:tc>
        <w:tc>
          <w:tcPr>
            <w:tcW w:w="1337" w:type="dxa"/>
            <w:shd w:val="clear" w:color="auto" w:fill="EAF2F8"/>
            <w:vAlign w:val="center"/>
          </w:tcPr>
          <w:p w14:paraId="00312A5C" w14:textId="77777777" w:rsidR="00187BD6" w:rsidRDefault="00000000" w:rsidP="001077B5">
            <w:pPr>
              <w:jc w:val="both"/>
            </w:pPr>
            <w:r>
              <w:rPr>
                <w:sz w:val="17"/>
              </w:rPr>
              <w:t>1,000</w:t>
            </w:r>
          </w:p>
        </w:tc>
      </w:tr>
      <w:tr w:rsidR="00187BD6" w14:paraId="0C732C28" w14:textId="77777777" w:rsidTr="001077B5">
        <w:trPr>
          <w:jc w:val="center"/>
        </w:trPr>
        <w:tc>
          <w:tcPr>
            <w:tcW w:w="1337" w:type="dxa"/>
            <w:vAlign w:val="center"/>
          </w:tcPr>
          <w:p w14:paraId="28A4A852" w14:textId="77777777" w:rsidR="00187BD6" w:rsidRDefault="00000000" w:rsidP="001077B5">
            <w:pPr>
              <w:jc w:val="both"/>
            </w:pPr>
            <w:r>
              <w:rPr>
                <w:sz w:val="17"/>
              </w:rPr>
              <w:t>DeepSeek-V4-Flash-0731</w:t>
            </w:r>
          </w:p>
        </w:tc>
        <w:tc>
          <w:tcPr>
            <w:tcW w:w="1337" w:type="dxa"/>
            <w:vAlign w:val="center"/>
          </w:tcPr>
          <w:p w14:paraId="4FDA0D0F" w14:textId="77777777" w:rsidR="00187BD6" w:rsidRDefault="00000000" w:rsidP="001077B5">
            <w:pPr>
              <w:jc w:val="both"/>
            </w:pPr>
            <w:r>
              <w:rPr>
                <w:sz w:val="17"/>
              </w:rPr>
              <w:t>High-only</w:t>
            </w:r>
          </w:p>
        </w:tc>
        <w:tc>
          <w:tcPr>
            <w:tcW w:w="1337" w:type="dxa"/>
            <w:vAlign w:val="center"/>
          </w:tcPr>
          <w:p w14:paraId="7B33C5EC" w14:textId="77777777" w:rsidR="00187BD6" w:rsidRDefault="00000000" w:rsidP="001077B5">
            <w:pPr>
              <w:jc w:val="both"/>
            </w:pPr>
            <w:r>
              <w:rPr>
                <w:sz w:val="17"/>
              </w:rPr>
              <w:t>446 / 500</w:t>
            </w:r>
          </w:p>
        </w:tc>
        <w:tc>
          <w:tcPr>
            <w:tcW w:w="1337" w:type="dxa"/>
            <w:vAlign w:val="center"/>
          </w:tcPr>
          <w:p w14:paraId="0C3CE7E6" w14:textId="77777777" w:rsidR="00187BD6" w:rsidRDefault="00000000" w:rsidP="001077B5">
            <w:pPr>
              <w:jc w:val="both"/>
            </w:pPr>
            <w:r>
              <w:rPr>
                <w:sz w:val="17"/>
              </w:rPr>
              <w:t>89.2%</w:t>
            </w:r>
          </w:p>
        </w:tc>
        <w:tc>
          <w:tcPr>
            <w:tcW w:w="1337" w:type="dxa"/>
            <w:vAlign w:val="center"/>
          </w:tcPr>
          <w:p w14:paraId="17990B18" w14:textId="77777777" w:rsidR="00187BD6" w:rsidRDefault="00000000" w:rsidP="001077B5">
            <w:pPr>
              <w:jc w:val="both"/>
            </w:pPr>
            <w:r>
              <w:rPr>
                <w:sz w:val="17"/>
              </w:rPr>
              <w:t>-0.4 pp</w:t>
            </w:r>
          </w:p>
        </w:tc>
        <w:tc>
          <w:tcPr>
            <w:tcW w:w="1337" w:type="dxa"/>
            <w:vAlign w:val="center"/>
          </w:tcPr>
          <w:p w14:paraId="654B5575" w14:textId="77777777" w:rsidR="00187BD6" w:rsidRDefault="00000000" w:rsidP="001077B5">
            <w:pPr>
              <w:jc w:val="both"/>
            </w:pPr>
            <w:r>
              <w:rPr>
                <w:sz w:val="17"/>
              </w:rPr>
              <w:t>0.500</w:t>
            </w:r>
          </w:p>
        </w:tc>
        <w:tc>
          <w:tcPr>
            <w:tcW w:w="1337" w:type="dxa"/>
            <w:vAlign w:val="center"/>
          </w:tcPr>
          <w:p w14:paraId="161A5D1F" w14:textId="77777777" w:rsidR="00187BD6" w:rsidRDefault="00000000" w:rsidP="001077B5">
            <w:pPr>
              <w:jc w:val="both"/>
            </w:pPr>
            <w:r>
              <w:rPr>
                <w:sz w:val="17"/>
              </w:rPr>
              <w:t>532</w:t>
            </w:r>
          </w:p>
        </w:tc>
      </w:tr>
      <w:tr w:rsidR="00187BD6" w14:paraId="45A8DA97" w14:textId="77777777" w:rsidTr="001077B5">
        <w:trPr>
          <w:jc w:val="center"/>
        </w:trPr>
        <w:tc>
          <w:tcPr>
            <w:tcW w:w="1337" w:type="dxa"/>
            <w:shd w:val="clear" w:color="auto" w:fill="EAF2F8"/>
            <w:vAlign w:val="center"/>
          </w:tcPr>
          <w:p w14:paraId="3971AF5B" w14:textId="77777777" w:rsidR="00187BD6" w:rsidRDefault="00000000" w:rsidP="001077B5">
            <w:pPr>
              <w:jc w:val="both"/>
            </w:pPr>
            <w:r>
              <w:rPr>
                <w:sz w:val="17"/>
              </w:rPr>
              <w:t>DeepSeek-V4-Flash-0731</w:t>
            </w:r>
          </w:p>
        </w:tc>
        <w:tc>
          <w:tcPr>
            <w:tcW w:w="1337" w:type="dxa"/>
            <w:shd w:val="clear" w:color="auto" w:fill="EAF2F8"/>
            <w:vAlign w:val="center"/>
          </w:tcPr>
          <w:p w14:paraId="59611212" w14:textId="77777777" w:rsidR="00187BD6" w:rsidRDefault="00000000" w:rsidP="001077B5">
            <w:pPr>
              <w:jc w:val="both"/>
            </w:pPr>
            <w:r>
              <w:rPr>
                <w:sz w:val="17"/>
              </w:rPr>
              <w:t>Medium+High</w:t>
            </w:r>
          </w:p>
        </w:tc>
        <w:tc>
          <w:tcPr>
            <w:tcW w:w="1337" w:type="dxa"/>
            <w:shd w:val="clear" w:color="auto" w:fill="EAF2F8"/>
            <w:vAlign w:val="center"/>
          </w:tcPr>
          <w:p w14:paraId="7BFF1879" w14:textId="77777777" w:rsidR="00187BD6" w:rsidRDefault="00000000" w:rsidP="001077B5">
            <w:pPr>
              <w:jc w:val="both"/>
            </w:pPr>
            <w:r>
              <w:rPr>
                <w:sz w:val="17"/>
              </w:rPr>
              <w:t>446 / 500</w:t>
            </w:r>
          </w:p>
        </w:tc>
        <w:tc>
          <w:tcPr>
            <w:tcW w:w="1337" w:type="dxa"/>
            <w:shd w:val="clear" w:color="auto" w:fill="EAF2F8"/>
            <w:vAlign w:val="center"/>
          </w:tcPr>
          <w:p w14:paraId="045AD54B" w14:textId="77777777" w:rsidR="00187BD6" w:rsidRDefault="00000000" w:rsidP="001077B5">
            <w:pPr>
              <w:jc w:val="both"/>
            </w:pPr>
            <w:r>
              <w:rPr>
                <w:sz w:val="17"/>
              </w:rPr>
              <w:t>89.2%</w:t>
            </w:r>
          </w:p>
        </w:tc>
        <w:tc>
          <w:tcPr>
            <w:tcW w:w="1337" w:type="dxa"/>
            <w:shd w:val="clear" w:color="auto" w:fill="EAF2F8"/>
            <w:vAlign w:val="center"/>
          </w:tcPr>
          <w:p w14:paraId="2BB55120" w14:textId="77777777" w:rsidR="00187BD6" w:rsidRDefault="00000000" w:rsidP="001077B5">
            <w:pPr>
              <w:jc w:val="both"/>
            </w:pPr>
            <w:r>
              <w:rPr>
                <w:sz w:val="17"/>
              </w:rPr>
              <w:t>-0.4 pp</w:t>
            </w:r>
          </w:p>
        </w:tc>
        <w:tc>
          <w:tcPr>
            <w:tcW w:w="1337" w:type="dxa"/>
            <w:shd w:val="clear" w:color="auto" w:fill="EAF2F8"/>
            <w:vAlign w:val="center"/>
          </w:tcPr>
          <w:p w14:paraId="65F5F8E9" w14:textId="77777777" w:rsidR="00187BD6" w:rsidRDefault="00000000" w:rsidP="001077B5">
            <w:pPr>
              <w:jc w:val="both"/>
            </w:pPr>
            <w:r>
              <w:rPr>
                <w:sz w:val="17"/>
              </w:rPr>
              <w:t>0.625</w:t>
            </w:r>
          </w:p>
        </w:tc>
        <w:tc>
          <w:tcPr>
            <w:tcW w:w="1337" w:type="dxa"/>
            <w:shd w:val="clear" w:color="auto" w:fill="EAF2F8"/>
            <w:vAlign w:val="center"/>
          </w:tcPr>
          <w:p w14:paraId="285AFD01" w14:textId="77777777" w:rsidR="00187BD6" w:rsidRDefault="00000000" w:rsidP="001077B5">
            <w:pPr>
              <w:jc w:val="both"/>
            </w:pPr>
            <w:r>
              <w:rPr>
                <w:sz w:val="17"/>
              </w:rPr>
              <w:t>678</w:t>
            </w:r>
          </w:p>
        </w:tc>
      </w:tr>
    </w:tbl>
    <w:p w14:paraId="79D6BAC7" w14:textId="77777777" w:rsidR="00187BD6" w:rsidRDefault="00187BD6" w:rsidP="001077B5">
      <w:pPr>
        <w:spacing w:after="40"/>
        <w:jc w:val="both"/>
      </w:pPr>
    </w:p>
    <w:p w14:paraId="3DC86206" w14:textId="77777777" w:rsidR="00187BD6" w:rsidRDefault="00000000" w:rsidP="001077B5">
      <w:pPr>
        <w:pStyle w:val="21"/>
        <w:keepNext w:val="0"/>
        <w:keepLines w:val="0"/>
        <w:widowControl w:val="0"/>
        <w:spacing w:after="100"/>
        <w:jc w:val="both"/>
      </w:pPr>
      <w:r>
        <w:rPr>
          <w:rFonts w:ascii="Times New Roman" w:eastAsia="宋体" w:hAnsi="Times New Roman"/>
        </w:rPr>
        <w:t>5.4 Public complex-case execution audit</w:t>
      </w:r>
    </w:p>
    <w:p w14:paraId="4B65523A" w14:textId="77777777" w:rsidR="00187BD6" w:rsidRDefault="00000000" w:rsidP="001077B5">
      <w:pPr>
        <w:spacing w:after="100" w:line="300" w:lineRule="auto"/>
        <w:ind w:firstLine="360"/>
        <w:jc w:val="both"/>
      </w:pPr>
      <w:r>
        <w:t>All 24 public complex cases completed without runtime error. Sixteen cases were routed as medium and eight as high. Every case logged risk routing and evidence retrieval; 16 medium cases executed handoff_no_evidence and 8 high cases executed handoff_policy. Thus, all 24 cases ended in conservative handoff. Six cases matched evidence entries, mean evidence count was 0.25, mean API calls were 1.00, and string-level auditing found no potentially actionable dose pattern. These results establish action execution and audit coverage, not clinical safety.</w:t>
      </w:r>
    </w:p>
    <w:p w14:paraId="091050F1" w14:textId="77777777" w:rsidR="00187BD6" w:rsidRDefault="00000000" w:rsidP="001077B5">
      <w:pPr>
        <w:jc w:val="both"/>
      </w:pPr>
      <w:r>
        <w:br w:type="page"/>
      </w:r>
    </w:p>
    <w:p w14:paraId="51FDE72B" w14:textId="77777777" w:rsidR="00187BD6" w:rsidRDefault="00000000" w:rsidP="001077B5">
      <w:pPr>
        <w:spacing w:before="120" w:after="60"/>
        <w:jc w:val="center"/>
      </w:pPr>
      <w:r>
        <w:rPr>
          <w:b/>
          <w:sz w:val="20"/>
        </w:rPr>
        <w:lastRenderedPageBreak/>
        <w:t>Table 4. No-expert audit of 24 public complex cases</w:t>
      </w:r>
    </w:p>
    <w:tbl>
      <w:tblPr>
        <w:tblStyle w:val="aff1"/>
        <w:tblW w:w="0" w:type="auto"/>
        <w:jc w:val="center"/>
        <w:tblLook w:val="04A0" w:firstRow="1" w:lastRow="0" w:firstColumn="1" w:lastColumn="0" w:noHBand="0" w:noVBand="1"/>
      </w:tblPr>
      <w:tblGrid>
        <w:gridCol w:w="2340"/>
        <w:gridCol w:w="2340"/>
        <w:gridCol w:w="2340"/>
        <w:gridCol w:w="2340"/>
      </w:tblGrid>
      <w:tr w:rsidR="00187BD6" w14:paraId="212F9A8F" w14:textId="77777777" w:rsidTr="001077B5">
        <w:trPr>
          <w:tblHeader/>
          <w:jc w:val="center"/>
        </w:trPr>
        <w:tc>
          <w:tcPr>
            <w:tcW w:w="2340" w:type="dxa"/>
            <w:shd w:val="clear" w:color="auto" w:fill="1F4E79"/>
            <w:vAlign w:val="center"/>
          </w:tcPr>
          <w:p w14:paraId="149A509D" w14:textId="77777777" w:rsidR="00187BD6" w:rsidRDefault="00000000" w:rsidP="001077B5">
            <w:pPr>
              <w:jc w:val="both"/>
            </w:pPr>
            <w:r>
              <w:rPr>
                <w:b/>
                <w:color w:val="FFFFFF"/>
                <w:sz w:val="17"/>
              </w:rPr>
              <w:t>Measure</w:t>
            </w:r>
          </w:p>
        </w:tc>
        <w:tc>
          <w:tcPr>
            <w:tcW w:w="2340" w:type="dxa"/>
            <w:shd w:val="clear" w:color="auto" w:fill="1F4E79"/>
            <w:vAlign w:val="center"/>
          </w:tcPr>
          <w:p w14:paraId="7F135167" w14:textId="77777777" w:rsidR="00187BD6" w:rsidRDefault="00000000" w:rsidP="001077B5">
            <w:pPr>
              <w:jc w:val="both"/>
            </w:pPr>
            <w:r>
              <w:rPr>
                <w:b/>
                <w:color w:val="FFFFFF"/>
                <w:sz w:val="17"/>
              </w:rPr>
              <w:t>Observed log result</w:t>
            </w:r>
          </w:p>
        </w:tc>
        <w:tc>
          <w:tcPr>
            <w:tcW w:w="2340" w:type="dxa"/>
            <w:shd w:val="clear" w:color="auto" w:fill="1F4E79"/>
            <w:vAlign w:val="center"/>
          </w:tcPr>
          <w:p w14:paraId="2326C95E" w14:textId="77777777" w:rsidR="00187BD6" w:rsidRDefault="00000000" w:rsidP="001077B5">
            <w:pPr>
              <w:jc w:val="both"/>
            </w:pPr>
            <w:r>
              <w:rPr>
                <w:b/>
                <w:color w:val="FFFFFF"/>
                <w:sz w:val="17"/>
              </w:rPr>
              <w:t>Supported interpretation</w:t>
            </w:r>
          </w:p>
        </w:tc>
        <w:tc>
          <w:tcPr>
            <w:tcW w:w="2340" w:type="dxa"/>
            <w:shd w:val="clear" w:color="auto" w:fill="1F4E79"/>
            <w:vAlign w:val="center"/>
          </w:tcPr>
          <w:p w14:paraId="2207D2D3" w14:textId="77777777" w:rsidR="00187BD6" w:rsidRDefault="00000000" w:rsidP="001077B5">
            <w:pPr>
              <w:jc w:val="both"/>
            </w:pPr>
            <w:r>
              <w:rPr>
                <w:b/>
                <w:color w:val="FFFFFF"/>
                <w:sz w:val="17"/>
              </w:rPr>
              <w:t>Not supported</w:t>
            </w:r>
          </w:p>
        </w:tc>
      </w:tr>
      <w:tr w:rsidR="00187BD6" w14:paraId="1C223E86" w14:textId="77777777" w:rsidTr="001077B5">
        <w:trPr>
          <w:jc w:val="center"/>
        </w:trPr>
        <w:tc>
          <w:tcPr>
            <w:tcW w:w="2340" w:type="dxa"/>
            <w:vAlign w:val="center"/>
          </w:tcPr>
          <w:p w14:paraId="3A491260" w14:textId="77777777" w:rsidR="00187BD6" w:rsidRDefault="00000000" w:rsidP="001077B5">
            <w:pPr>
              <w:jc w:val="both"/>
            </w:pPr>
            <w:r>
              <w:rPr>
                <w:sz w:val="17"/>
              </w:rPr>
              <w:t>Completion</w:t>
            </w:r>
          </w:p>
        </w:tc>
        <w:tc>
          <w:tcPr>
            <w:tcW w:w="2340" w:type="dxa"/>
            <w:vAlign w:val="center"/>
          </w:tcPr>
          <w:p w14:paraId="2052D015" w14:textId="77777777" w:rsidR="00187BD6" w:rsidRDefault="00000000" w:rsidP="001077B5">
            <w:pPr>
              <w:jc w:val="both"/>
            </w:pPr>
            <w:r>
              <w:rPr>
                <w:sz w:val="17"/>
              </w:rPr>
              <w:t>24 / 24; 0 errors</w:t>
            </w:r>
          </w:p>
        </w:tc>
        <w:tc>
          <w:tcPr>
            <w:tcW w:w="2340" w:type="dxa"/>
            <w:vAlign w:val="center"/>
          </w:tcPr>
          <w:p w14:paraId="24057BFD" w14:textId="77777777" w:rsidR="00187BD6" w:rsidRDefault="00000000" w:rsidP="001077B5">
            <w:pPr>
              <w:jc w:val="both"/>
            </w:pPr>
            <w:r>
              <w:rPr>
                <w:sz w:val="17"/>
              </w:rPr>
              <w:t>State machine executed</w:t>
            </w:r>
          </w:p>
        </w:tc>
        <w:tc>
          <w:tcPr>
            <w:tcW w:w="2340" w:type="dxa"/>
            <w:vAlign w:val="center"/>
          </w:tcPr>
          <w:p w14:paraId="017261E5" w14:textId="77777777" w:rsidR="00187BD6" w:rsidRDefault="00000000" w:rsidP="001077B5">
            <w:pPr>
              <w:jc w:val="both"/>
            </w:pPr>
            <w:r>
              <w:rPr>
                <w:sz w:val="17"/>
              </w:rPr>
              <w:t>Clinical usability</w:t>
            </w:r>
          </w:p>
        </w:tc>
      </w:tr>
      <w:tr w:rsidR="00187BD6" w14:paraId="2F2A660E" w14:textId="77777777" w:rsidTr="001077B5">
        <w:trPr>
          <w:jc w:val="center"/>
        </w:trPr>
        <w:tc>
          <w:tcPr>
            <w:tcW w:w="2340" w:type="dxa"/>
            <w:shd w:val="clear" w:color="auto" w:fill="EAF2F8"/>
            <w:vAlign w:val="center"/>
          </w:tcPr>
          <w:p w14:paraId="68C55439" w14:textId="77777777" w:rsidR="00187BD6" w:rsidRDefault="00000000" w:rsidP="001077B5">
            <w:pPr>
              <w:jc w:val="both"/>
            </w:pPr>
            <w:r>
              <w:rPr>
                <w:sz w:val="17"/>
              </w:rPr>
              <w:t>Routes</w:t>
            </w:r>
          </w:p>
        </w:tc>
        <w:tc>
          <w:tcPr>
            <w:tcW w:w="2340" w:type="dxa"/>
            <w:shd w:val="clear" w:color="auto" w:fill="EAF2F8"/>
            <w:vAlign w:val="center"/>
          </w:tcPr>
          <w:p w14:paraId="753D073A" w14:textId="77777777" w:rsidR="00187BD6" w:rsidRDefault="00000000" w:rsidP="001077B5">
            <w:pPr>
              <w:jc w:val="both"/>
            </w:pPr>
            <w:r>
              <w:rPr>
                <w:sz w:val="17"/>
              </w:rPr>
              <w:t>16 medium; 8 high</w:t>
            </w:r>
          </w:p>
        </w:tc>
        <w:tc>
          <w:tcPr>
            <w:tcW w:w="2340" w:type="dxa"/>
            <w:shd w:val="clear" w:color="auto" w:fill="EAF2F8"/>
            <w:vAlign w:val="center"/>
          </w:tcPr>
          <w:p w14:paraId="414B2F9C" w14:textId="77777777" w:rsidR="00187BD6" w:rsidRDefault="00000000" w:rsidP="001077B5">
            <w:pPr>
              <w:jc w:val="both"/>
            </w:pPr>
            <w:r>
              <w:rPr>
                <w:sz w:val="17"/>
              </w:rPr>
              <w:t>Frozen policy logged routes</w:t>
            </w:r>
          </w:p>
        </w:tc>
        <w:tc>
          <w:tcPr>
            <w:tcW w:w="2340" w:type="dxa"/>
            <w:shd w:val="clear" w:color="auto" w:fill="EAF2F8"/>
            <w:vAlign w:val="center"/>
          </w:tcPr>
          <w:p w14:paraId="7C6E511B" w14:textId="77777777" w:rsidR="00187BD6" w:rsidRDefault="00000000" w:rsidP="001077B5">
            <w:pPr>
              <w:jc w:val="both"/>
            </w:pPr>
            <w:r>
              <w:rPr>
                <w:sz w:val="17"/>
              </w:rPr>
              <w:t>Routing accuracy</w:t>
            </w:r>
          </w:p>
        </w:tc>
      </w:tr>
      <w:tr w:rsidR="00187BD6" w14:paraId="3BC7C031" w14:textId="77777777" w:rsidTr="001077B5">
        <w:trPr>
          <w:jc w:val="center"/>
        </w:trPr>
        <w:tc>
          <w:tcPr>
            <w:tcW w:w="2340" w:type="dxa"/>
            <w:vAlign w:val="center"/>
          </w:tcPr>
          <w:p w14:paraId="0899FAA2" w14:textId="77777777" w:rsidR="00187BD6" w:rsidRDefault="00000000" w:rsidP="001077B5">
            <w:pPr>
              <w:jc w:val="both"/>
            </w:pPr>
            <w:r>
              <w:rPr>
                <w:sz w:val="17"/>
              </w:rPr>
              <w:t>Actions</w:t>
            </w:r>
          </w:p>
        </w:tc>
        <w:tc>
          <w:tcPr>
            <w:tcW w:w="2340" w:type="dxa"/>
            <w:vAlign w:val="center"/>
          </w:tcPr>
          <w:p w14:paraId="1630E0A3" w14:textId="77777777" w:rsidR="00187BD6" w:rsidRDefault="00000000" w:rsidP="001077B5">
            <w:pPr>
              <w:jc w:val="both"/>
            </w:pPr>
            <w:r>
              <w:rPr>
                <w:sz w:val="17"/>
              </w:rPr>
              <w:t>24 retrieval; 16 no-evidence; 8 policy handoffs</w:t>
            </w:r>
          </w:p>
        </w:tc>
        <w:tc>
          <w:tcPr>
            <w:tcW w:w="2340" w:type="dxa"/>
            <w:vAlign w:val="center"/>
          </w:tcPr>
          <w:p w14:paraId="6C268123" w14:textId="77777777" w:rsidR="00187BD6" w:rsidRDefault="00000000" w:rsidP="001077B5">
            <w:pPr>
              <w:jc w:val="both"/>
            </w:pPr>
            <w:r>
              <w:rPr>
                <w:sz w:val="17"/>
              </w:rPr>
              <w:t>Fallback executed</w:t>
            </w:r>
          </w:p>
        </w:tc>
        <w:tc>
          <w:tcPr>
            <w:tcW w:w="2340" w:type="dxa"/>
            <w:vAlign w:val="center"/>
          </w:tcPr>
          <w:p w14:paraId="1C351733" w14:textId="77777777" w:rsidR="00187BD6" w:rsidRDefault="00000000" w:rsidP="001077B5">
            <w:pPr>
              <w:jc w:val="both"/>
            </w:pPr>
            <w:r>
              <w:rPr>
                <w:sz w:val="17"/>
              </w:rPr>
              <w:t>Handoff appropriateness</w:t>
            </w:r>
          </w:p>
        </w:tc>
      </w:tr>
      <w:tr w:rsidR="00187BD6" w14:paraId="7CF3D25A" w14:textId="77777777" w:rsidTr="001077B5">
        <w:trPr>
          <w:jc w:val="center"/>
        </w:trPr>
        <w:tc>
          <w:tcPr>
            <w:tcW w:w="2340" w:type="dxa"/>
            <w:shd w:val="clear" w:color="auto" w:fill="EAF2F8"/>
            <w:vAlign w:val="center"/>
          </w:tcPr>
          <w:p w14:paraId="7924E845" w14:textId="77777777" w:rsidR="00187BD6" w:rsidRDefault="00000000" w:rsidP="001077B5">
            <w:pPr>
              <w:jc w:val="both"/>
            </w:pPr>
            <w:r>
              <w:rPr>
                <w:sz w:val="17"/>
              </w:rPr>
              <w:t>Handoff</w:t>
            </w:r>
          </w:p>
        </w:tc>
        <w:tc>
          <w:tcPr>
            <w:tcW w:w="2340" w:type="dxa"/>
            <w:shd w:val="clear" w:color="auto" w:fill="EAF2F8"/>
            <w:vAlign w:val="center"/>
          </w:tcPr>
          <w:p w14:paraId="17EFA26B" w14:textId="77777777" w:rsidR="00187BD6" w:rsidRDefault="00000000" w:rsidP="001077B5">
            <w:pPr>
              <w:jc w:val="both"/>
            </w:pPr>
            <w:r>
              <w:rPr>
                <w:sz w:val="17"/>
              </w:rPr>
              <w:t>24 / 24</w:t>
            </w:r>
          </w:p>
        </w:tc>
        <w:tc>
          <w:tcPr>
            <w:tcW w:w="2340" w:type="dxa"/>
            <w:shd w:val="clear" w:color="auto" w:fill="EAF2F8"/>
            <w:vAlign w:val="center"/>
          </w:tcPr>
          <w:p w14:paraId="5F36A661" w14:textId="77777777" w:rsidR="00187BD6" w:rsidRDefault="00000000" w:rsidP="001077B5">
            <w:pPr>
              <w:jc w:val="both"/>
            </w:pPr>
            <w:r>
              <w:rPr>
                <w:sz w:val="17"/>
              </w:rPr>
              <w:t>No high-risk path bypassed handoff</w:t>
            </w:r>
          </w:p>
        </w:tc>
        <w:tc>
          <w:tcPr>
            <w:tcW w:w="2340" w:type="dxa"/>
            <w:shd w:val="clear" w:color="auto" w:fill="EAF2F8"/>
            <w:vAlign w:val="center"/>
          </w:tcPr>
          <w:p w14:paraId="4E99CA54" w14:textId="77777777" w:rsidR="00187BD6" w:rsidRDefault="00000000" w:rsidP="001077B5">
            <w:pPr>
              <w:jc w:val="both"/>
            </w:pPr>
            <w:r>
              <w:rPr>
                <w:sz w:val="17"/>
              </w:rPr>
              <w:t>Safety improvement</w:t>
            </w:r>
          </w:p>
        </w:tc>
      </w:tr>
      <w:tr w:rsidR="00187BD6" w14:paraId="350327A8" w14:textId="77777777" w:rsidTr="001077B5">
        <w:trPr>
          <w:jc w:val="center"/>
        </w:trPr>
        <w:tc>
          <w:tcPr>
            <w:tcW w:w="2340" w:type="dxa"/>
            <w:vAlign w:val="center"/>
          </w:tcPr>
          <w:p w14:paraId="30D9BEBB" w14:textId="77777777" w:rsidR="00187BD6" w:rsidRDefault="00000000" w:rsidP="001077B5">
            <w:pPr>
              <w:jc w:val="both"/>
            </w:pPr>
            <w:r>
              <w:rPr>
                <w:sz w:val="17"/>
              </w:rPr>
              <w:t>Evidence</w:t>
            </w:r>
          </w:p>
        </w:tc>
        <w:tc>
          <w:tcPr>
            <w:tcW w:w="2340" w:type="dxa"/>
            <w:vAlign w:val="center"/>
          </w:tcPr>
          <w:p w14:paraId="2C76E579" w14:textId="77777777" w:rsidR="00187BD6" w:rsidRDefault="00000000" w:rsidP="001077B5">
            <w:pPr>
              <w:jc w:val="both"/>
            </w:pPr>
            <w:r>
              <w:rPr>
                <w:sz w:val="17"/>
              </w:rPr>
              <w:t>Mean count 0.25</w:t>
            </w:r>
          </w:p>
        </w:tc>
        <w:tc>
          <w:tcPr>
            <w:tcW w:w="2340" w:type="dxa"/>
            <w:vAlign w:val="center"/>
          </w:tcPr>
          <w:p w14:paraId="684E2F1E" w14:textId="77777777" w:rsidR="00187BD6" w:rsidRDefault="00000000" w:rsidP="001077B5">
            <w:pPr>
              <w:jc w:val="both"/>
            </w:pPr>
            <w:r>
              <w:rPr>
                <w:sz w:val="17"/>
              </w:rPr>
              <w:t>Retrieval is auditable</w:t>
            </w:r>
          </w:p>
        </w:tc>
        <w:tc>
          <w:tcPr>
            <w:tcW w:w="2340" w:type="dxa"/>
            <w:vAlign w:val="center"/>
          </w:tcPr>
          <w:p w14:paraId="1A727BC6" w14:textId="77777777" w:rsidR="00187BD6" w:rsidRDefault="00000000" w:rsidP="001077B5">
            <w:pPr>
              <w:jc w:val="both"/>
            </w:pPr>
            <w:r>
              <w:rPr>
                <w:sz w:val="17"/>
              </w:rPr>
              <w:t>Evidence relevance</w:t>
            </w:r>
          </w:p>
        </w:tc>
      </w:tr>
    </w:tbl>
    <w:p w14:paraId="551531DF" w14:textId="77777777" w:rsidR="00187BD6" w:rsidRDefault="00187BD6" w:rsidP="001077B5">
      <w:pPr>
        <w:spacing w:after="40"/>
        <w:jc w:val="both"/>
      </w:pPr>
    </w:p>
    <w:p w14:paraId="292709AF" w14:textId="77777777" w:rsidR="00187BD6" w:rsidRDefault="00000000" w:rsidP="001077B5">
      <w:pPr>
        <w:pStyle w:val="1"/>
        <w:keepNext w:val="0"/>
        <w:keepLines w:val="0"/>
        <w:widowControl w:val="0"/>
        <w:spacing w:before="200" w:after="100"/>
        <w:jc w:val="both"/>
      </w:pPr>
      <w:r>
        <w:rPr>
          <w:rFonts w:ascii="Times New Roman" w:eastAsia="宋体" w:hAnsi="Times New Roman"/>
        </w:rPr>
        <w:t>6. Discussion</w:t>
      </w:r>
    </w:p>
    <w:p w14:paraId="59AB57F6" w14:textId="77777777" w:rsidR="00187BD6" w:rsidRDefault="00000000" w:rsidP="001077B5">
      <w:pPr>
        <w:spacing w:after="100" w:line="300" w:lineRule="auto"/>
        <w:ind w:firstLine="360"/>
        <w:jc w:val="both"/>
      </w:pPr>
      <w:r>
        <w:t>The central result is not that verification improves medical capability. Across the initial Qwen exploration and the three-model replication, same-model second-pass verification did not produce a stable statistically significant gain. A second generation changed some answers in the correct direction and others in the wrong direction. This pattern is compatible with shared error sources between initial and verification calls.</w:t>
      </w:r>
    </w:p>
    <w:p w14:paraId="1D5A6CF5" w14:textId="77777777" w:rsidR="00187BD6" w:rsidRDefault="00000000" w:rsidP="001077B5">
      <w:pPr>
        <w:spacing w:after="100" w:line="300" w:lineRule="auto"/>
        <w:ind w:firstLine="360"/>
        <w:jc w:val="both"/>
      </w:pPr>
      <w:r>
        <w:t>In contrast, frozen routing provides direct and reproducible control of computation. High-only and Medium+High systematically reduce calls relative to Always-Verify, and the same call budget is reproduced across the three models. For intelligent-system design, the contribution is an explicit interface between action selection, resource use, and audit records rather than an implicit prompt-only refinement procedure.</w:t>
      </w:r>
    </w:p>
    <w:p w14:paraId="3112BEC2" w14:textId="77777777" w:rsidR="00187BD6" w:rsidRDefault="00000000" w:rsidP="001077B5">
      <w:pPr>
        <w:spacing w:after="100" w:line="300" w:lineRule="auto"/>
        <w:ind w:firstLine="360"/>
        <w:jc w:val="both"/>
      </w:pPr>
      <w:r>
        <w:t>The complex-case audit must be interpreted narrowly. It demonstrates that the agent can execute and log conservative fallback behavior. Because neither policy terms nor case outputs were independently rated by medical experts, the study does not establish a clinical risk classifier, medical correctness, or clinical safety. This boundary is essential for a responsible engineering interpretation.</w:t>
      </w:r>
    </w:p>
    <w:p w14:paraId="372CE474" w14:textId="77777777" w:rsidR="00187BD6" w:rsidRDefault="00000000" w:rsidP="001077B5">
      <w:pPr>
        <w:pStyle w:val="1"/>
        <w:keepNext w:val="0"/>
        <w:keepLines w:val="0"/>
        <w:widowControl w:val="0"/>
        <w:spacing w:before="200" w:after="100"/>
        <w:jc w:val="both"/>
      </w:pPr>
      <w:r>
        <w:rPr>
          <w:rFonts w:ascii="Times New Roman" w:eastAsia="宋体" w:hAnsi="Times New Roman"/>
        </w:rPr>
        <w:t>7. Limitations and future work</w:t>
      </w:r>
    </w:p>
    <w:p w14:paraId="50451706" w14:textId="77777777" w:rsidR="00187BD6" w:rsidRDefault="00000000" w:rsidP="001077B5">
      <w:pPr>
        <w:spacing w:after="100" w:line="300" w:lineRule="auto"/>
        <w:ind w:firstLine="360"/>
        <w:jc w:val="both"/>
      </w:pPr>
      <w:r>
        <w:t>Public multiple-choice questions may be affected by training-data exposure and cannot represent diagnosis, treatment, triage, or patient communication. The routing policy is researcher specified and has not undergone independent expert review. API timing confounds service-side and network effects. The present work compares same-model verification only, not independent-model review, guideline-constrained verification, or learned cost-sensitive routing.</w:t>
      </w:r>
    </w:p>
    <w:p w14:paraId="059115B4" w14:textId="77777777" w:rsidR="00187BD6" w:rsidRDefault="00000000" w:rsidP="001077B5">
      <w:pPr>
        <w:spacing w:after="100" w:line="300" w:lineRule="auto"/>
        <w:ind w:firstLine="360"/>
        <w:jc w:val="both"/>
      </w:pPr>
      <w:r>
        <w:t>The next study should preregister expert evaluation: two medical reviewers should independently assess policy terms, evidence items, and blinded outputs, with third-reviewer adjudication. A frozen protocol should compare Direct, Always-Verify, Rule-Gated, Evidence-Verify, and Handoff-Only using correctness, potentially harmful advice, appropriate handoff, evidence support, and inter-rater agreement as endpoints. Further engineering validation should use additional public benchmarks and interactive environments such as MedAgentBench.</w:t>
      </w:r>
    </w:p>
    <w:p w14:paraId="29FA49AC" w14:textId="77777777" w:rsidR="00187BD6" w:rsidRDefault="00000000" w:rsidP="001077B5">
      <w:pPr>
        <w:pStyle w:val="1"/>
        <w:keepNext w:val="0"/>
        <w:keepLines w:val="0"/>
        <w:widowControl w:val="0"/>
        <w:spacing w:before="200" w:after="100"/>
        <w:jc w:val="both"/>
      </w:pPr>
      <w:r>
        <w:rPr>
          <w:rFonts w:ascii="Times New Roman" w:eastAsia="宋体" w:hAnsi="Times New Roman"/>
        </w:rPr>
        <w:t>8. Conclusion</w:t>
      </w:r>
    </w:p>
    <w:p w14:paraId="01E91691" w14:textId="77777777" w:rsidR="00187BD6" w:rsidRDefault="00000000" w:rsidP="001077B5">
      <w:pPr>
        <w:spacing w:after="100" w:line="300" w:lineRule="auto"/>
        <w:ind w:firstLine="360"/>
        <w:jc w:val="both"/>
      </w:pPr>
      <w:r>
        <w:t xml:space="preserve">RAVA-Agent represents risk routing, selective verification, evidence retrieval, and conservative handoff as auditable agent actions. Across three models on a public objective benchmark, same-model </w:t>
      </w:r>
      <w:r>
        <w:lastRenderedPageBreak/>
        <w:t>verification did not yield a stable accuracy gain, whereas frozen rule gating reproducibly reduced verification-call budget. The no-expert complex-case audit supports only system execution and traceability. Clinical effectiveness and safety require independent medical evaluation.</w:t>
      </w:r>
    </w:p>
    <w:p w14:paraId="66136C4D" w14:textId="77777777" w:rsidR="00187BD6" w:rsidRDefault="00000000" w:rsidP="001077B5">
      <w:pPr>
        <w:pStyle w:val="1"/>
        <w:keepNext w:val="0"/>
        <w:keepLines w:val="0"/>
        <w:widowControl w:val="0"/>
        <w:spacing w:before="200" w:after="100"/>
        <w:jc w:val="both"/>
      </w:pPr>
      <w:r>
        <w:rPr>
          <w:rFonts w:ascii="Times New Roman" w:eastAsia="宋体" w:hAnsi="Times New Roman"/>
        </w:rPr>
        <w:t>Declarations</w:t>
      </w:r>
    </w:p>
    <w:p w14:paraId="122EA596" w14:textId="77777777" w:rsidR="00187BD6" w:rsidRDefault="00000000" w:rsidP="001077B5">
      <w:pPr>
        <w:spacing w:after="100" w:line="300" w:lineRule="auto"/>
        <w:ind w:firstLine="360"/>
        <w:jc w:val="both"/>
      </w:pPr>
      <w:r>
        <w:t>Ethics statement: This study uses public benchmarks and public de-identified cases only; no real patient personal data were used. Model outputs are for research and education and are not diagnostic, treatment, prescription, or emergency-triage advice.</w:t>
      </w:r>
    </w:p>
    <w:p w14:paraId="22932D48" w14:textId="77777777" w:rsidR="00187BD6" w:rsidRDefault="00000000" w:rsidP="001077B5">
      <w:pPr>
        <w:spacing w:after="100" w:line="300" w:lineRule="auto"/>
        <w:ind w:firstLine="360"/>
        <w:jc w:val="both"/>
      </w:pPr>
      <w:r>
        <w:t>Data and code availability: Insert the persistent repository URL, archived policy version, prompts, sampling script, runner, scorer, paired-analysis script, and de-identified result logs before submission.</w:t>
      </w:r>
    </w:p>
    <w:p w14:paraId="033CE912" w14:textId="77777777" w:rsidR="00187BD6" w:rsidRDefault="00000000" w:rsidP="001077B5">
      <w:pPr>
        <w:spacing w:after="100" w:line="300" w:lineRule="auto"/>
        <w:ind w:firstLine="360"/>
        <w:jc w:val="both"/>
      </w:pPr>
      <w:r>
        <w:t>Conflict of interest: The authors declare no competing interests. Replace if not accurate.</w:t>
      </w:r>
    </w:p>
    <w:p w14:paraId="52C5F6B5" w14:textId="77777777" w:rsidR="00187BD6" w:rsidRDefault="00000000" w:rsidP="001077B5">
      <w:pPr>
        <w:spacing w:after="100" w:line="300" w:lineRule="auto"/>
        <w:ind w:firstLine="360"/>
        <w:jc w:val="both"/>
      </w:pPr>
      <w:r>
        <w:t>Funding: [Insert funding statement or 'This research received no specific grant from any funding agency.']</w:t>
      </w:r>
    </w:p>
    <w:p w14:paraId="0F966D2E" w14:textId="77777777" w:rsidR="00187BD6" w:rsidRDefault="00000000" w:rsidP="001077B5">
      <w:pPr>
        <w:pStyle w:val="1"/>
        <w:keepNext w:val="0"/>
        <w:keepLines w:val="0"/>
        <w:widowControl w:val="0"/>
        <w:spacing w:before="200" w:after="100"/>
        <w:jc w:val="both"/>
      </w:pPr>
      <w:r>
        <w:rPr>
          <w:rFonts w:ascii="Times New Roman" w:eastAsia="宋体" w:hAnsi="Times New Roman"/>
        </w:rPr>
        <w:t>References</w:t>
      </w:r>
    </w:p>
    <w:p w14:paraId="18E725A7" w14:textId="77777777" w:rsidR="00187BD6" w:rsidRDefault="00000000" w:rsidP="001077B5">
      <w:pPr>
        <w:spacing w:after="40" w:line="240" w:lineRule="auto"/>
        <w:ind w:left="360" w:hanging="360"/>
        <w:jc w:val="both"/>
      </w:pPr>
      <w:r>
        <w:rPr>
          <w:sz w:val="18"/>
        </w:rPr>
        <w:t>Cai, Y., Wang, L., Wang, Y., de Melo, G., Zhang, Y., Wang, Y., &amp; He, L. (2024). MedBench: A large-scale Chinese benchmark for evaluating medical large language models. Proceedings of the AAAI Conference on Artificial Intelligence, 38(16), 17709-17717. https://doi.org/10.1609/aaai.v38i16.29723</w:t>
      </w:r>
    </w:p>
    <w:p w14:paraId="769C2406" w14:textId="77777777" w:rsidR="00187BD6" w:rsidRDefault="00000000" w:rsidP="001077B5">
      <w:pPr>
        <w:spacing w:after="40" w:line="240" w:lineRule="auto"/>
        <w:ind w:left="360" w:hanging="360"/>
        <w:jc w:val="both"/>
      </w:pPr>
      <w:r>
        <w:rPr>
          <w:sz w:val="18"/>
        </w:rPr>
        <w:t>Hager, P., Jungmann, F., Holland, R., et al. (2024). Evaluation and mitigation of the limitations of large language models in clinical decision-making. Nature Medicine, 30, 2613-2622. https://doi.org/10.1038/s41591-024-03097-1</w:t>
      </w:r>
    </w:p>
    <w:p w14:paraId="5F1EE866" w14:textId="77777777" w:rsidR="00187BD6" w:rsidRDefault="00000000" w:rsidP="001077B5">
      <w:pPr>
        <w:spacing w:after="40" w:line="240" w:lineRule="auto"/>
        <w:ind w:left="360" w:hanging="360"/>
        <w:jc w:val="both"/>
      </w:pPr>
      <w:r>
        <w:rPr>
          <w:sz w:val="18"/>
        </w:rPr>
        <w:t>Han, T., Kumar, A., Agarwal, C., &amp; Lakkaraju, H. (2024). MedSafetyBench: Evaluating and improving the medical safety of large language models. Advances in Neural Information Processing Systems, 37. https://doi.org/10.52202/079017-1054</w:t>
      </w:r>
    </w:p>
    <w:p w14:paraId="3FC67263" w14:textId="77777777" w:rsidR="00187BD6" w:rsidRDefault="00000000" w:rsidP="001077B5">
      <w:pPr>
        <w:spacing w:after="40" w:line="240" w:lineRule="auto"/>
        <w:ind w:left="360" w:hanging="360"/>
        <w:jc w:val="both"/>
      </w:pPr>
      <w:r>
        <w:rPr>
          <w:sz w:val="18"/>
        </w:rPr>
        <w:t>Jiang, Y., Black, K. C., Geng, G., et al. (2025). MedAgentBench: A virtual EHR environment to benchmark medical LLM agents. NEJM AI, 2(9), AIdbp2500144. https://doi.org/10.1056/AIdbp2500144</w:t>
      </w:r>
    </w:p>
    <w:p w14:paraId="3B1F17EE" w14:textId="77777777" w:rsidR="00187BD6" w:rsidRDefault="00000000" w:rsidP="001077B5">
      <w:pPr>
        <w:spacing w:after="40" w:line="240" w:lineRule="auto"/>
        <w:ind w:left="360" w:hanging="360"/>
        <w:jc w:val="both"/>
      </w:pPr>
      <w:r>
        <w:rPr>
          <w:sz w:val="18"/>
        </w:rPr>
        <w:t>Madaan, A., Tandon, N., Gupta, P., et al. (2023). Self-Refine: Iterative refinement with self-feedback. Advances in Neural Information Processing Systems, 36.</w:t>
      </w:r>
    </w:p>
    <w:p w14:paraId="32E5E8BE" w14:textId="77777777" w:rsidR="00187BD6" w:rsidRDefault="00000000" w:rsidP="001077B5">
      <w:pPr>
        <w:spacing w:after="40" w:line="240" w:lineRule="auto"/>
        <w:ind w:left="360" w:hanging="360"/>
        <w:jc w:val="both"/>
      </w:pPr>
      <w:r>
        <w:rPr>
          <w:sz w:val="18"/>
        </w:rPr>
        <w:t>McNemar, Q. (1947). Note on the sampling error of the difference between correlated proportions or percentages. Psychometrika, 12, 153-157. https://doi.org/10.1007/BF02295996</w:t>
      </w:r>
    </w:p>
    <w:p w14:paraId="391E8E5A" w14:textId="77777777" w:rsidR="00187BD6" w:rsidRDefault="00000000" w:rsidP="001077B5">
      <w:pPr>
        <w:spacing w:after="40" w:line="240" w:lineRule="auto"/>
        <w:ind w:left="360" w:hanging="360"/>
        <w:jc w:val="both"/>
      </w:pPr>
      <w:r>
        <w:rPr>
          <w:sz w:val="18"/>
        </w:rPr>
        <w:t>Shinn, N., Cassano, F., Berman, E., et al. (2023). Reflexion: Language agents with verbal reinforcement learning. Advances in Neural Information Processing Systems, 36.</w:t>
      </w:r>
    </w:p>
    <w:p w14:paraId="6447D78D" w14:textId="77777777" w:rsidR="00187BD6" w:rsidRDefault="00000000" w:rsidP="001077B5">
      <w:pPr>
        <w:spacing w:after="40" w:line="240" w:lineRule="auto"/>
        <w:ind w:left="360" w:hanging="360"/>
        <w:jc w:val="both"/>
      </w:pPr>
      <w:r>
        <w:rPr>
          <w:sz w:val="18"/>
        </w:rPr>
        <w:t>Singhal, K., Azizi, S., Tu, T., et al. (2023). Large language models encode clinical knowledge. Nature, 620, 172-180. https://doi.org/10.1038/s41586-023-06291-2</w:t>
      </w:r>
    </w:p>
    <w:p w14:paraId="332539A7" w14:textId="77777777" w:rsidR="00187BD6" w:rsidRDefault="00000000" w:rsidP="001077B5">
      <w:pPr>
        <w:spacing w:after="40" w:line="240" w:lineRule="auto"/>
        <w:ind w:left="360" w:hanging="360"/>
        <w:jc w:val="both"/>
      </w:pPr>
      <w:r>
        <w:rPr>
          <w:sz w:val="18"/>
        </w:rPr>
        <w:t>Wang, X., Chen, G. H., Song, D., et al. (2024). CMB: A comprehensive medical benchmark in Chinese. Proceedings of NAACL-HLT 2024, 6184-6205. https://doi.org/10.18653/v1/2024.naacl-long.343</w:t>
      </w:r>
    </w:p>
    <w:p w14:paraId="3621980E" w14:textId="77777777" w:rsidR="00187BD6" w:rsidRDefault="00000000" w:rsidP="001077B5">
      <w:pPr>
        <w:spacing w:after="40" w:line="240" w:lineRule="auto"/>
        <w:ind w:left="360" w:hanging="360"/>
        <w:jc w:val="both"/>
      </w:pPr>
      <w:r>
        <w:rPr>
          <w:sz w:val="18"/>
        </w:rPr>
        <w:t>Wilson, E. B. (1927). Probable inference, the law of succession, and statistical inference. Journal of the American Statistical Association, 22(158), 209-212. https://doi.org/10.1080/01621459.1927.10502953</w:t>
      </w:r>
    </w:p>
    <w:p w14:paraId="41D32980" w14:textId="77777777" w:rsidR="00187BD6" w:rsidRDefault="00000000" w:rsidP="001077B5">
      <w:pPr>
        <w:spacing w:after="40" w:line="240" w:lineRule="auto"/>
        <w:ind w:left="360" w:hanging="360"/>
        <w:jc w:val="both"/>
      </w:pPr>
      <w:r>
        <w:rPr>
          <w:sz w:val="18"/>
        </w:rPr>
        <w:t>World Health Organization. (2021). Ethics and governance of artificial intelligence for health: WHO guidance. https://www.who.int/publications/i/item/9789240029200</w:t>
      </w:r>
    </w:p>
    <w:sectPr w:rsidR="00187BD6"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17D84" w14:textId="77777777" w:rsidR="00042BFF" w:rsidRDefault="00042BFF">
      <w:pPr>
        <w:spacing w:after="0" w:line="240" w:lineRule="auto"/>
      </w:pPr>
      <w:r>
        <w:separator/>
      </w:r>
    </w:p>
  </w:endnote>
  <w:endnote w:type="continuationSeparator" w:id="0">
    <w:p w14:paraId="35E7FE67" w14:textId="77777777" w:rsidR="00042BFF" w:rsidRDefault="00042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90593" w14:textId="77777777" w:rsidR="00187BD6" w:rsidRDefault="00000000">
    <w:pPr>
      <w:pStyle w:val="a7"/>
      <w:jc w:val="center"/>
    </w:pPr>
    <w:r>
      <w:rPr>
        <w:sz w:val="18"/>
      </w:rPr>
      <w:t>Expert Systems with Applications submission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0221E" w14:textId="77777777" w:rsidR="00042BFF" w:rsidRDefault="00042BFF">
      <w:pPr>
        <w:spacing w:after="0" w:line="240" w:lineRule="auto"/>
      </w:pPr>
      <w:r>
        <w:separator/>
      </w:r>
    </w:p>
  </w:footnote>
  <w:footnote w:type="continuationSeparator" w:id="0">
    <w:p w14:paraId="38A1782E" w14:textId="77777777" w:rsidR="00042BFF" w:rsidRDefault="00042B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82247802">
    <w:abstractNumId w:val="8"/>
  </w:num>
  <w:num w:numId="2" w16cid:durableId="970289852">
    <w:abstractNumId w:val="6"/>
  </w:num>
  <w:num w:numId="3" w16cid:durableId="460225176">
    <w:abstractNumId w:val="5"/>
  </w:num>
  <w:num w:numId="4" w16cid:durableId="2037920209">
    <w:abstractNumId w:val="4"/>
  </w:num>
  <w:num w:numId="5" w16cid:durableId="1230387986">
    <w:abstractNumId w:val="7"/>
  </w:num>
  <w:num w:numId="6" w16cid:durableId="680208327">
    <w:abstractNumId w:val="3"/>
  </w:num>
  <w:num w:numId="7" w16cid:durableId="730612366">
    <w:abstractNumId w:val="2"/>
  </w:num>
  <w:num w:numId="8" w16cid:durableId="1032848467">
    <w:abstractNumId w:val="1"/>
  </w:num>
  <w:num w:numId="9" w16cid:durableId="562911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BFF"/>
    <w:rsid w:val="0006063C"/>
    <w:rsid w:val="001077B5"/>
    <w:rsid w:val="0015074B"/>
    <w:rsid w:val="00187BD6"/>
    <w:rsid w:val="002418E7"/>
    <w:rsid w:val="00285019"/>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CF6626"/>
  <w14:defaultImageDpi w14:val="300"/>
  <w15:docId w15:val="{25B154AF-2EA6-4D6A-ABD4-6E26F1754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2246</Words>
  <Characters>14352</Characters>
  <Application>Microsoft Office Word</Application>
  <DocSecurity>0</DocSecurity>
  <Lines>341</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Auditable Risk-Aware Verification Agent for Medical Question Answering</dc:title>
  <dc:subject/>
  <dc:creator>python-docx</dc:creator>
  <cp:keywords/>
  <dc:description>generated by python-docx</dc:description>
  <cp:lastModifiedBy>芽芽 阮</cp:lastModifiedBy>
  <cp:revision>2</cp:revision>
  <dcterms:created xsi:type="dcterms:W3CDTF">2013-12-23T23:15:00Z</dcterms:created>
  <dcterms:modified xsi:type="dcterms:W3CDTF">2026-09-24T13:40:00Z</dcterms:modified>
  <cp:category/>
</cp:coreProperties>
</file>