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AppDR Clinical Decision-Support System Brief</w:t>
      </w:r>
    </w:p>
    <w:p>
      <w:pPr>
        <w:pStyle w:val="Subtitle"/>
      </w:pPr>
      <w:r>
        <w:t>Traditional retinal image processing, handcrafted features, shallow ML, and clinician-reviewed workflow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700"/>
          </w:tcPr>
          <w:p>
            <w:r>
              <w:t>Project</w:t>
            </w:r>
          </w:p>
        </w:tc>
        <w:tc>
          <w:tcPr>
            <w:tcW w:type="dxa" w:w="6660"/>
          </w:tcPr>
          <w:p>
            <w:r>
              <w:t>AppDR / DRAppFix undergraduate thesis prototype.</w:t>
            </w:r>
          </w:p>
        </w:tc>
      </w:tr>
      <w:tr>
        <w:tc>
          <w:tcPr>
            <w:tcW w:type="dxa" w:w="2700"/>
          </w:tcPr>
          <w:p>
            <w:r>
              <w:t>System role</w:t>
            </w:r>
          </w:p>
        </w:tc>
        <w:tc>
          <w:tcPr>
            <w:tcW w:type="dxa" w:w="6660"/>
          </w:tcPr>
          <w:p>
            <w:r>
              <w:t>Semi-automated clinical decision-support tool for retinal screening review.</w:t>
            </w:r>
          </w:p>
        </w:tc>
      </w:tr>
      <w:tr>
        <w:tc>
          <w:tcPr>
            <w:tcW w:type="dxa" w:w="2700"/>
          </w:tcPr>
          <w:p>
            <w:r>
              <w:t>Important boundary</w:t>
            </w:r>
          </w:p>
        </w:tc>
        <w:tc>
          <w:tcPr>
            <w:tcW w:type="dxa" w:w="6660"/>
          </w:tcPr>
          <w:p>
            <w:r>
              <w:t>The system does not provide an autonomous diagnosis or treatment recommendation.</w:t>
            </w:r>
          </w:p>
        </w:tc>
      </w:tr>
      <w:tr>
        <w:tc>
          <w:tcPr>
            <w:tcW w:type="dxa" w:w="2700"/>
          </w:tcPr>
          <w:p>
            <w:r>
              <w:t>Clinical workflow</w:t>
            </w:r>
          </w:p>
        </w:tc>
        <w:tc>
          <w:tcPr>
            <w:tcW w:type="dxa" w:w="6660"/>
          </w:tcPr>
          <w:p>
            <w:r>
              <w:t>A qualified eye-care professional reviews image quality, lesion overlays, stage estimate, confidence, and manual override before saving the report.</w:t>
            </w:r>
          </w:p>
        </w:tc>
      </w:tr>
      <w:tr>
        <w:tc>
          <w:tcPr>
            <w:tcW w:type="dxa" w:w="2700"/>
          </w:tcPr>
          <w:p>
            <w:r>
              <w:t>Deep learning status</w:t>
            </w:r>
          </w:p>
        </w:tc>
        <w:tc>
          <w:tcPr>
            <w:tcW w:type="dxa" w:w="6660"/>
          </w:tcPr>
          <w:p>
            <w:r>
              <w:t>No CNNs, PyTorch, TensorFlow, or learned pixel embeddings are used.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AppDR is framed as a semi-automated clinical decision-support system using traditional retinal image processing. The backend extracts explicit retinal measurements from a fundus image, then uses a shallow scikit-learn tabular model as an internal statistical decision engine. The output is a screening-support stage estimate for clinician review, not a medical diagnosis.</w:t>
      </w:r>
    </w:p>
    <w:p>
      <w:r>
        <w:t>The current trained model is a HistGradientBoostingClassifier selected by cross-validated macro F1 over 30 handcrafted features. Stages 0-1 are mapped to Non-Referable screening support and stages 2-4 are mapped to Referable screening support. Because severe and proliferative recall remains limited, the frontend includes a mandatory specialist manual review step.</w:t>
      </w:r>
    </w:p>
    <w:p>
      <w:pPr>
        <w:pStyle w:val="Heading1"/>
      </w:pPr>
      <w:r>
        <w:t>Thesis Constraint Compliance</w:t>
      </w:r>
    </w:p>
    <w:p>
      <w:pPr>
        <w:pStyle w:val="ListBullet"/>
      </w:pPr>
      <w:r>
        <w:t>Uses OpenCV and classical image processing for image normalization, vessel segmentation, lesion candidate extraction, and texture measurement.</w:t>
      </w:r>
    </w:p>
    <w:p>
      <w:pPr>
        <w:pStyle w:val="ListBullet"/>
      </w:pPr>
      <w:r>
        <w:t>Uses scikit-learn models only on handcrafted scalar features, not directly on image pixels.</w:t>
      </w:r>
    </w:p>
    <w:p>
      <w:pPr>
        <w:pStyle w:val="ListBullet"/>
      </w:pPr>
      <w:r>
        <w:t>Avoids CNNs, deep learning frameworks, learned embeddings, and autonomous diagnostic language.</w:t>
      </w:r>
    </w:p>
    <w:p>
      <w:pPr>
        <w:pStyle w:val="ListBullet"/>
      </w:pPr>
      <w:r>
        <w:t>Frames the product as decision support for a human clinician, with manual stage override and audit-style confirmation.</w:t>
      </w:r>
    </w:p>
    <w:p>
      <w:pPr>
        <w:pStyle w:val="Heading1"/>
      </w:pPr>
      <w:r>
        <w:t>Backend Workflow</w:t>
      </w:r>
    </w:p>
    <w:p>
      <w:pPr>
        <w:pStyle w:val="ListNumber"/>
      </w:pPr>
      <w:r>
        <w:t>Ingest a retinal image through FastAPI.</w:t>
      </w:r>
    </w:p>
    <w:p>
      <w:pPr>
        <w:pStyle w:val="ListNumber"/>
      </w:pPr>
      <w:r>
        <w:t>Assess quality: blur, brightness, contrast, retinal field shape, and vessel visibility.</w:t>
      </w:r>
    </w:p>
    <w:p>
      <w:pPr>
        <w:pStyle w:val="ListNumber"/>
      </w:pPr>
      <w:r>
        <w:t>Preprocess with fundus cropping, green-channel enhancement, illumination correction, CLAHE, and denoising.</w:t>
      </w:r>
    </w:p>
    <w:p>
      <w:pPr>
        <w:pStyle w:val="ListNumber"/>
      </w:pPr>
      <w:r>
        <w:t>Segment vessels with classical vesselness and morphology.</w:t>
      </w:r>
    </w:p>
    <w:p>
      <w:pPr>
        <w:pStyle w:val="ListNumber"/>
      </w:pPr>
      <w:r>
        <w:t>Detect microaneurysm-like candidates using black-hat filtering, vessel suppression, color gating, and component shape filters.</w:t>
      </w:r>
    </w:p>
    <w:p>
      <w:pPr>
        <w:pStyle w:val="ListNumber"/>
      </w:pPr>
      <w:r>
        <w:t>Detect exudate-like candidates using L*a*b* color space, b-channel support, local bright-lesion gating, Otsu/percentile thresholds, and optic-disc exclusion.</w:t>
      </w:r>
    </w:p>
    <w:p>
      <w:pPr>
        <w:pStyle w:val="ListNumber"/>
      </w:pPr>
      <w:r>
        <w:t>Extract 30 handcrafted measurements covering lesion burden, vessel morphology, color statistics, and multi-angle GLCM texture.</w:t>
      </w:r>
    </w:p>
    <w:p>
      <w:pPr>
        <w:pStyle w:val="ListNumber"/>
      </w:pPr>
      <w:r>
        <w:t>Estimate a five-stage DR support level using the trained shallow tabular model.</w:t>
      </w:r>
    </w:p>
    <w:p>
      <w:pPr>
        <w:pStyle w:val="ListNumber"/>
      </w:pPr>
      <w:r>
        <w:t>Map stage 0-1 to Non-Referable support and stage 2-4 to Referable support.</w:t>
      </w:r>
    </w:p>
    <w:p>
      <w:pPr>
        <w:pStyle w:val="ListNumber"/>
      </w:pPr>
      <w:r>
        <w:t>Return processed images, lesion overlays, confidence values, and lesion coordinates for visual verification.</w:t>
      </w:r>
    </w:p>
    <w:p>
      <w:pPr>
        <w:pStyle w:val="Heading1"/>
      </w:pPr>
      <w:r>
        <w:t>Feature Vector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</w:tcPr>
          <w:p>
            <w:r>
              <w:rPr>
                <w:b/>
              </w:rPr>
              <w:t>Feature group</w:t>
            </w:r>
          </w:p>
        </w:tc>
        <w:tc>
          <w:tcPr>
            <w:tcW w:type="dxa" w:w="6860"/>
            <w:shd w:fill="F2F4F7"/>
          </w:tcPr>
          <w:p>
            <w:r>
              <w:rPr>
                <w:b/>
              </w:rPr>
              <w:t>Measurements</w:t>
            </w:r>
          </w:p>
        </w:tc>
      </w:tr>
      <w:tr>
        <w:tc>
          <w:tcPr>
            <w:tcW w:type="dxa" w:w="2500"/>
          </w:tcPr>
          <w:p>
            <w:r>
              <w:t>Microaneurysm features</w:t>
            </w:r>
          </w:p>
        </w:tc>
        <w:tc>
          <w:tcPr>
            <w:tcW w:type="dxa" w:w="6860"/>
          </w:tcPr>
          <w:p>
            <w:r>
              <w:t>ma_count, ma_area, ma_density, ma_mean_area</w:t>
            </w:r>
          </w:p>
        </w:tc>
      </w:tr>
      <w:tr>
        <w:tc>
          <w:tcPr>
            <w:tcW w:type="dxa" w:w="2500"/>
          </w:tcPr>
          <w:p>
            <w:r>
              <w:t>Exudate features</w:t>
            </w:r>
          </w:p>
        </w:tc>
        <w:tc>
          <w:tcPr>
            <w:tcW w:type="dxa" w:w="6860"/>
          </w:tcPr>
          <w:p>
            <w:r>
              <w:t>exudate_count, exudate_area, exudate_density, exudate_mean_area</w:t>
            </w:r>
          </w:p>
        </w:tc>
      </w:tr>
      <w:tr>
        <w:tc>
          <w:tcPr>
            <w:tcW w:type="dxa" w:w="2500"/>
          </w:tcPr>
          <w:p>
            <w:r>
              <w:t>Vessel morphology</w:t>
            </w:r>
          </w:p>
        </w:tc>
        <w:tc>
          <w:tcPr>
            <w:tcW w:type="dxa" w:w="6860"/>
          </w:tcPr>
          <w:p>
            <w:r>
              <w:t>vessel_density, vessel_skeleton_length, endpoints, branchpoints, tortuosity mean/max/std</w:t>
            </w:r>
          </w:p>
        </w:tc>
      </w:tr>
      <w:tr>
        <w:tc>
          <w:tcPr>
            <w:tcW w:type="dxa" w:w="2500"/>
          </w:tcPr>
          <w:p>
            <w:r>
              <w:t>L*a*b* color features</w:t>
            </w:r>
          </w:p>
        </w:tc>
        <w:tc>
          <w:tcPr>
            <w:tcW w:type="dxa" w:w="6860"/>
          </w:tcPr>
          <w:p>
            <w:r>
              <w:t>lab_b_mean, lab_b_std, lab_b_exudate_mean, lab_b_exudate_std</w:t>
            </w:r>
          </w:p>
        </w:tc>
      </w:tr>
      <w:tr>
        <w:tc>
          <w:tcPr>
            <w:tcW w:type="dxa" w:w="2500"/>
          </w:tcPr>
          <w:p>
            <w:r>
              <w:t>Texture features</w:t>
            </w:r>
          </w:p>
        </w:tc>
        <w:tc>
          <w:tcPr>
            <w:tcW w:type="dxa" w:w="6860"/>
          </w:tcPr>
          <w:p>
            <w:r>
              <w:t>GLCM contrast, homogeneity, energy, and 0/45/90/135 degree contrast/energy values</w:t>
            </w:r>
          </w:p>
        </w:tc>
      </w:tr>
    </w:tbl>
    <w:p/>
    <w:p>
      <w:r>
        <w:t>Total active handcrafted feature count: 30.</w:t>
      </w:r>
    </w:p>
    <w:p>
      <w:pPr>
        <w:pStyle w:val="Heading1"/>
      </w:pPr>
      <w:r>
        <w:t>Training Summary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700"/>
          </w:tcPr>
          <w:p>
            <w:r>
              <w:t>Training table</w:t>
            </w:r>
          </w:p>
        </w:tc>
        <w:tc>
          <w:tcPr>
            <w:tcW w:type="dxa" w:w="6660"/>
          </w:tcPr>
          <w:p>
            <w:r>
              <w:t>backend/features.csv rebuilt from 3,662 APTOS-style labeled training images.</w:t>
            </w:r>
          </w:p>
        </w:tc>
      </w:tr>
      <w:tr>
        <w:tc>
          <w:tcPr>
            <w:tcW w:type="dxa" w:w="2700"/>
          </w:tcPr>
          <w:p>
            <w:r>
              <w:t>Failed samples</w:t>
            </w:r>
          </w:p>
        </w:tc>
        <w:tc>
          <w:tcPr>
            <w:tcW w:type="dxa" w:w="6660"/>
          </w:tcPr>
          <w:p>
            <w:r>
              <w:t>0 failed samples during expanded feature extraction.</w:t>
            </w:r>
          </w:p>
        </w:tc>
      </w:tr>
      <w:tr>
        <w:tc>
          <w:tcPr>
            <w:tcW w:type="dxa" w:w="2700"/>
          </w:tcPr>
          <w:p>
            <w:r>
              <w:t>Class labels</w:t>
            </w:r>
          </w:p>
        </w:tc>
        <w:tc>
          <w:tcPr>
            <w:tcW w:type="dxa" w:w="6660"/>
          </w:tcPr>
          <w:p>
            <w:r>
              <w:t>0 No DR, 1 Mild NPDR, 2 Moderate NPDR, 3 Severe NPDR, 4 Proliferative DR.</w:t>
            </w:r>
          </w:p>
        </w:tc>
      </w:tr>
      <w:tr>
        <w:tc>
          <w:tcPr>
            <w:tcW w:type="dxa" w:w="2700"/>
          </w:tcPr>
          <w:p>
            <w:r>
              <w:t>Best model</w:t>
            </w:r>
          </w:p>
        </w:tc>
        <w:tc>
          <w:tcPr>
            <w:tcW w:type="dxa" w:w="6660"/>
          </w:tcPr>
          <w:p>
            <w:r>
              <w:t>HistGradientBoostingClassifier</w:t>
            </w:r>
          </w:p>
        </w:tc>
      </w:tr>
      <w:tr>
        <w:tc>
          <w:tcPr>
            <w:tcW w:type="dxa" w:w="2700"/>
          </w:tcPr>
          <w:p>
            <w:r>
              <w:t>Best parameters</w:t>
            </w:r>
          </w:p>
        </w:tc>
        <w:tc>
          <w:tcPr>
            <w:tcW w:type="dxa" w:w="6660"/>
          </w:tcPr>
          <w:p>
            <w:r>
              <w:t>{'classifier__learning_rate': 0.1, 'classifier__max_iter': 100, 'classifier__max_leaf_nodes': 15}</w:t>
            </w:r>
          </w:p>
        </w:tc>
      </w:tr>
      <w:tr>
        <w:tc>
          <w:tcPr>
            <w:tcW w:type="dxa" w:w="2700"/>
          </w:tcPr>
          <w:p>
            <w:r>
              <w:t>Cross-validation</w:t>
            </w:r>
          </w:p>
        </w:tc>
        <w:tc>
          <w:tcPr>
            <w:tcW w:type="dxa" w:w="6660"/>
          </w:tcPr>
          <w:p>
            <w:r>
              <w:t>5-fold StratifiedKFold, macro F1 scoring.</w:t>
            </w:r>
          </w:p>
        </w:tc>
      </w:tr>
      <w:tr>
        <w:tc>
          <w:tcPr>
            <w:tcW w:type="dxa" w:w="2700"/>
          </w:tcPr>
          <w:p>
            <w:r>
              <w:t>Imbalance handling</w:t>
            </w:r>
          </w:p>
        </w:tc>
        <w:tc>
          <w:tcPr>
            <w:tcW w:type="dxa" w:w="6660"/>
          </w:tcPr>
          <w:p>
            <w:r>
              <w:t>RandomForest/SVC use balanced class weights; HistGradientBoosting uses SMOTE inside the cross-validation pipeline.</w:t>
            </w:r>
          </w:p>
        </w:tc>
      </w:tr>
    </w:tbl>
    <w:p/>
    <w:p>
      <w:pPr>
        <w:pStyle w:val="Heading2"/>
      </w:pPr>
      <w:r>
        <w:t>Model Comparison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700"/>
        <w:gridCol w:w="4060"/>
      </w:tblGrid>
      <w:tr>
        <w:tc>
          <w:tcPr>
            <w:tcW w:type="dxa" w:w="1900"/>
            <w:shd w:fill="F2F4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00"/>
            <w:shd w:fill="F2F4F7"/>
          </w:tcPr>
          <w:p>
            <w:r>
              <w:rPr>
                <w:b/>
              </w:rPr>
              <w:t>Best CV macro F1</w:t>
            </w:r>
          </w:p>
        </w:tc>
        <w:tc>
          <w:tcPr>
            <w:tcW w:type="dxa" w:w="1700"/>
            <w:shd w:fill="F2F4F7"/>
          </w:tcPr>
          <w:p>
            <w:r>
              <w:rPr>
                <w:b/>
              </w:rPr>
              <w:t>Holdout macro F1</w:t>
            </w:r>
          </w:p>
        </w:tc>
        <w:tc>
          <w:tcPr>
            <w:tcW w:type="dxa" w:w="4060"/>
            <w:shd w:fill="F2F4F7"/>
          </w:tcPr>
          <w:p>
            <w:r>
              <w:rPr>
                <w:b/>
              </w:rPr>
              <w:t>Best parameters</w:t>
            </w:r>
          </w:p>
        </w:tc>
      </w:tr>
      <w:tr>
        <w:tc>
          <w:tcPr>
            <w:tcW w:type="dxa" w:w="1900"/>
          </w:tcPr>
          <w:p>
            <w:r>
              <w:t>RandomForestClassifier</w:t>
            </w:r>
          </w:p>
        </w:tc>
        <w:tc>
          <w:tcPr>
            <w:tcW w:type="dxa" w:w="1700"/>
          </w:tcPr>
          <w:p>
            <w:r>
              <w:t>0.5026</w:t>
            </w:r>
          </w:p>
        </w:tc>
        <w:tc>
          <w:tcPr>
            <w:tcW w:type="dxa" w:w="1700"/>
          </w:tcPr>
          <w:p>
            <w:r>
              <w:t>0.4879</w:t>
            </w:r>
          </w:p>
        </w:tc>
        <w:tc>
          <w:tcPr>
            <w:tcW w:type="dxa" w:w="4060"/>
          </w:tcPr>
          <w:p>
            <w:r>
              <w:t>{'classifier__max_depth': 10, 'classifier__min_samples_split': 5, 'classifier__n_estimators': 50}</w:t>
            </w:r>
          </w:p>
        </w:tc>
      </w:tr>
      <w:tr>
        <w:tc>
          <w:tcPr>
            <w:tcW w:type="dxa" w:w="1900"/>
          </w:tcPr>
          <w:p>
            <w:r>
              <w:t>SVC</w:t>
            </w:r>
          </w:p>
        </w:tc>
        <w:tc>
          <w:tcPr>
            <w:tcW w:type="dxa" w:w="1700"/>
          </w:tcPr>
          <w:p>
            <w:r>
              <w:t>0.5032</w:t>
            </w:r>
          </w:p>
        </w:tc>
        <w:tc>
          <w:tcPr>
            <w:tcW w:type="dxa" w:w="1700"/>
          </w:tcPr>
          <w:p>
            <w:r>
              <w:t>0.4603</w:t>
            </w:r>
          </w:p>
        </w:tc>
        <w:tc>
          <w:tcPr>
            <w:tcW w:type="dxa" w:w="4060"/>
          </w:tcPr>
          <w:p>
            <w:r>
              <w:t>{'classifier__C': 10, 'classifier__kernel': 'rbf'}</w:t>
            </w:r>
          </w:p>
        </w:tc>
      </w:tr>
      <w:tr>
        <w:tc>
          <w:tcPr>
            <w:tcW w:type="dxa" w:w="1900"/>
          </w:tcPr>
          <w:p>
            <w:r>
              <w:t>HistGradientBoostingClassifier</w:t>
            </w:r>
          </w:p>
        </w:tc>
        <w:tc>
          <w:tcPr>
            <w:tcW w:type="dxa" w:w="1700"/>
          </w:tcPr>
          <w:p>
            <w:r>
              <w:t>0.5117</w:t>
            </w:r>
          </w:p>
        </w:tc>
        <w:tc>
          <w:tcPr>
            <w:tcW w:type="dxa" w:w="1700"/>
          </w:tcPr>
          <w:p>
            <w:r>
              <w:t>0.4874</w:t>
            </w:r>
          </w:p>
        </w:tc>
        <w:tc>
          <w:tcPr>
            <w:tcW w:type="dxa" w:w="4060"/>
          </w:tcPr>
          <w:p>
            <w:r>
              <w:t>{'classifier__learning_rate': 0.1, 'classifier__max_iter': 100, 'classifier__max_leaf_nodes': 15}</w:t>
            </w:r>
          </w:p>
        </w:tc>
      </w:tr>
    </w:tbl>
    <w:p/>
    <w:p>
      <w:pPr>
        <w:pStyle w:val="Heading1"/>
      </w:pPr>
      <w:r>
        <w:t>Evaluation Results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700"/>
          </w:tcPr>
          <w:p>
            <w:r>
              <w:t>Accuracy</w:t>
            </w:r>
          </w:p>
        </w:tc>
        <w:tc>
          <w:tcPr>
            <w:tcW w:type="dxa" w:w="6660"/>
          </w:tcPr>
          <w:p>
            <w:r>
              <w:t>0.7026</w:t>
            </w:r>
          </w:p>
        </w:tc>
      </w:tr>
      <w:tr>
        <w:tc>
          <w:tcPr>
            <w:tcW w:type="dxa" w:w="2700"/>
          </w:tcPr>
          <w:p>
            <w:r>
              <w:t>Macro precision</w:t>
            </w:r>
          </w:p>
        </w:tc>
        <w:tc>
          <w:tcPr>
            <w:tcW w:type="dxa" w:w="6660"/>
          </w:tcPr>
          <w:p>
            <w:r>
              <w:t>0.4877</w:t>
            </w:r>
          </w:p>
        </w:tc>
      </w:tr>
      <w:tr>
        <w:tc>
          <w:tcPr>
            <w:tcW w:type="dxa" w:w="2700"/>
          </w:tcPr>
          <w:p>
            <w:r>
              <w:t>Macro recall / balanced accuracy</w:t>
            </w:r>
          </w:p>
        </w:tc>
        <w:tc>
          <w:tcPr>
            <w:tcW w:type="dxa" w:w="6660"/>
          </w:tcPr>
          <w:p>
            <w:r>
              <w:t>0.4875</w:t>
            </w:r>
          </w:p>
        </w:tc>
      </w:tr>
      <w:tr>
        <w:tc>
          <w:tcPr>
            <w:tcW w:type="dxa" w:w="2700"/>
          </w:tcPr>
          <w:p>
            <w:r>
              <w:t>Macro F1</w:t>
            </w:r>
          </w:p>
        </w:tc>
        <w:tc>
          <w:tcPr>
            <w:tcW w:type="dxa" w:w="6660"/>
          </w:tcPr>
          <w:p>
            <w:r>
              <w:t>0.4874</w:t>
            </w:r>
          </w:p>
        </w:tc>
      </w:tr>
      <w:tr>
        <w:tc>
          <w:tcPr>
            <w:tcW w:type="dxa" w:w="2700"/>
          </w:tcPr>
          <w:p>
            <w:r>
              <w:t>Cohen's kappa</w:t>
            </w:r>
          </w:p>
        </w:tc>
        <w:tc>
          <w:tcPr>
            <w:tcW w:type="dxa" w:w="6660"/>
          </w:tcPr>
          <w:p>
            <w:r>
              <w:t>0.5514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1700"/>
        <w:gridCol w:w="3660"/>
      </w:tblGrid>
      <w:tr>
        <w:tc>
          <w:tcPr>
            <w:tcW w:type="dxa" w:w="2300"/>
            <w:shd w:fill="F2F4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00"/>
            <w:shd w:fill="F2F4F7"/>
          </w:tcPr>
          <w:p>
            <w:r>
              <w:rPr>
                <w:b/>
              </w:rPr>
              <w:t>Sensitivity / TPR</w:t>
            </w:r>
          </w:p>
        </w:tc>
        <w:tc>
          <w:tcPr>
            <w:tcW w:type="dxa" w:w="1700"/>
            <w:shd w:fill="F2F4F7"/>
          </w:tcPr>
          <w:p>
            <w:r>
              <w:rPr>
                <w:b/>
              </w:rPr>
              <w:t>Specificity / TNR</w:t>
            </w:r>
          </w:p>
        </w:tc>
        <w:tc>
          <w:tcPr>
            <w:tcW w:type="dxa" w:w="3660"/>
            <w:shd w:fill="F2F4F7"/>
          </w:tcPr>
          <w:p>
            <w:r>
              <w:rPr>
                <w:b/>
              </w:rPr>
              <w:t>Clinical interpretation</w:t>
            </w:r>
          </w:p>
        </w:tc>
      </w:tr>
      <w:tr>
        <w:tc>
          <w:tcPr>
            <w:tcW w:type="dxa" w:w="2300"/>
          </w:tcPr>
          <w:p>
            <w:r>
              <w:t>0: No DR</w:t>
            </w:r>
          </w:p>
        </w:tc>
        <w:tc>
          <w:tcPr>
            <w:tcW w:type="dxa" w:w="1700"/>
          </w:tcPr>
          <w:p>
            <w:r>
              <w:t>93.07%</w:t>
            </w:r>
          </w:p>
        </w:tc>
        <w:tc>
          <w:tcPr>
            <w:tcW w:type="dxa" w:w="1700"/>
          </w:tcPr>
          <w:p>
            <w:r>
              <w:t>93.28%</w:t>
            </w:r>
          </w:p>
        </w:tc>
        <w:tc>
          <w:tcPr>
            <w:tcW w:type="dxa" w:w="3660"/>
          </w:tcPr>
          <w:p>
            <w:r>
              <w:t>Use as evidence for screening-support performance, not as proof of diagnostic validity.</w:t>
            </w:r>
          </w:p>
        </w:tc>
      </w:tr>
      <w:tr>
        <w:tc>
          <w:tcPr>
            <w:tcW w:type="dxa" w:w="2300"/>
          </w:tcPr>
          <w:p>
            <w:r>
              <w:t>1: Mild NPDR</w:t>
            </w:r>
          </w:p>
        </w:tc>
        <w:tc>
          <w:tcPr>
            <w:tcW w:type="dxa" w:w="1700"/>
          </w:tcPr>
          <w:p>
            <w:r>
              <w:t>41.89%</w:t>
            </w:r>
          </w:p>
        </w:tc>
        <w:tc>
          <w:tcPr>
            <w:tcW w:type="dxa" w:w="1700"/>
          </w:tcPr>
          <w:p>
            <w:r>
              <w:t>93.02%</w:t>
            </w:r>
          </w:p>
        </w:tc>
        <w:tc>
          <w:tcPr>
            <w:tcW w:type="dxa" w:w="3660"/>
          </w:tcPr>
          <w:p>
            <w:r>
              <w:t>Use as evidence for screening-support performance, not as proof of diagnostic validity.</w:t>
            </w:r>
          </w:p>
        </w:tc>
      </w:tr>
      <w:tr>
        <w:tc>
          <w:tcPr>
            <w:tcW w:type="dxa" w:w="2300"/>
          </w:tcPr>
          <w:p>
            <w:r>
              <w:t>2: Moderate NPDR</w:t>
            </w:r>
          </w:p>
        </w:tc>
        <w:tc>
          <w:tcPr>
            <w:tcW w:type="dxa" w:w="1700"/>
          </w:tcPr>
          <w:p>
            <w:r>
              <w:t>62.00%</w:t>
            </w:r>
          </w:p>
        </w:tc>
        <w:tc>
          <w:tcPr>
            <w:tcW w:type="dxa" w:w="1700"/>
          </w:tcPr>
          <w:p>
            <w:r>
              <w:t>85.55%</w:t>
            </w:r>
          </w:p>
        </w:tc>
        <w:tc>
          <w:tcPr>
            <w:tcW w:type="dxa" w:w="3660"/>
          </w:tcPr>
          <w:p>
            <w:r>
              <w:t>Use as evidence for screening-support performance, not as proof of diagnostic validity.</w:t>
            </w:r>
          </w:p>
        </w:tc>
      </w:tr>
      <w:tr>
        <w:tc>
          <w:tcPr>
            <w:tcW w:type="dxa" w:w="2300"/>
          </w:tcPr>
          <w:p>
            <w:r>
              <w:t>3: Severe NPDR</w:t>
            </w:r>
          </w:p>
        </w:tc>
        <w:tc>
          <w:tcPr>
            <w:tcW w:type="dxa" w:w="1700"/>
          </w:tcPr>
          <w:p>
            <w:r>
              <w:t>17.95%</w:t>
            </w:r>
          </w:p>
        </w:tc>
        <w:tc>
          <w:tcPr>
            <w:tcW w:type="dxa" w:w="1700"/>
          </w:tcPr>
          <w:p>
            <w:r>
              <w:t>95.97%</w:t>
            </w:r>
          </w:p>
        </w:tc>
        <w:tc>
          <w:tcPr>
            <w:tcW w:type="dxa" w:w="3660"/>
          </w:tcPr>
          <w:p>
            <w:r>
              <w:t>Use as evidence for screening-support performance, not as proof of diagnostic validity.</w:t>
            </w:r>
          </w:p>
        </w:tc>
      </w:tr>
      <w:tr>
        <w:tc>
          <w:tcPr>
            <w:tcW w:type="dxa" w:w="2300"/>
          </w:tcPr>
          <w:p>
            <w:r>
              <w:t>4: Proliferative DR</w:t>
            </w:r>
          </w:p>
        </w:tc>
        <w:tc>
          <w:tcPr>
            <w:tcW w:type="dxa" w:w="1700"/>
          </w:tcPr>
          <w:p>
            <w:r>
              <w:t>28.81%</w:t>
            </w:r>
          </w:p>
        </w:tc>
        <w:tc>
          <w:tcPr>
            <w:tcW w:type="dxa" w:w="1700"/>
          </w:tcPr>
          <w:p>
            <w:r>
              <w:t>93.77%</w:t>
            </w:r>
          </w:p>
        </w:tc>
        <w:tc>
          <w:tcPr>
            <w:tcW w:type="dxa" w:w="3660"/>
          </w:tcPr>
          <w:p>
            <w:r>
              <w:t>Use as evidence for screening-support performance, not as proof of diagnostic validity.</w:t>
            </w:r>
          </w:p>
        </w:tc>
      </w:tr>
    </w:tbl>
    <w:p/>
    <w:p>
      <w:pPr>
        <w:pStyle w:val="Heading1"/>
      </w:pPr>
      <w:r>
        <w:t>Known Limitation and Required Framing</w:t>
      </w:r>
    </w:p>
    <w:p>
      <w:r>
        <w:t>The current model performs best on no-DR and moderate cases but has weak recall for severe and proliferative DR. In the latest holdout evaluation, severe NPDR sensitivity is 17.95% and proliferative DR sensitivity is 28.81%. This limitation must be disclosed in the thesis, user interface, and API language.</w:t>
      </w:r>
    </w:p>
    <w:p>
      <w:pPr>
        <w:pStyle w:val="ListBullet"/>
      </w:pPr>
      <w:r>
        <w:t>Use the phrase screening-support estimate instead of diagnosis.</w:t>
      </w:r>
    </w:p>
    <w:p>
      <w:pPr>
        <w:pStyle w:val="ListBullet"/>
      </w:pPr>
      <w:r>
        <w:t>Use clinician review or specialist manual review instead of autonomous decision.</w:t>
      </w:r>
    </w:p>
    <w:p>
      <w:pPr>
        <w:pStyle w:val="ListBullet"/>
      </w:pPr>
      <w:r>
        <w:t>Show confidence as model support, not certainty.</w:t>
      </w:r>
    </w:p>
    <w:p>
      <w:pPr>
        <w:pStyle w:val="ListBullet"/>
      </w:pPr>
      <w:r>
        <w:t>Keep the lesion overlay visible so the clinician can verify the evidence.</w:t>
      </w:r>
    </w:p>
    <w:p>
      <w:pPr>
        <w:pStyle w:val="ListBullet"/>
      </w:pPr>
      <w:r>
        <w:t>Require the clinician to confirm the estimate or manually select a different stage before saving a report.</w:t>
      </w:r>
    </w:p>
    <w:p>
      <w:pPr>
        <w:pStyle w:val="Heading1"/>
      </w:pPr>
      <w:r>
        <w:t>Frontend Workflow</w:t>
      </w:r>
    </w:p>
    <w:p>
      <w:pPr>
        <w:pStyle w:val="ListBullet"/>
      </w:pPr>
      <w:r>
        <w:t>Tier 1 banner: Referable or Non-Referable screening-support status.</w:t>
      </w:r>
    </w:p>
    <w:p>
      <w:pPr>
        <w:pStyle w:val="ListBullet"/>
      </w:pPr>
      <w:r>
        <w:t>Tier 2 detail: Stage estimate 0-4 and estimated-stage confidence.</w:t>
      </w:r>
    </w:p>
    <w:p>
      <w:pPr>
        <w:pStyle w:val="ListBullet"/>
      </w:pPr>
      <w:r>
        <w:t>Lesion overlay toggle: displays backend-generated vessel, microaneurysm, and exudate masks.</w:t>
      </w:r>
    </w:p>
    <w:p>
      <w:pPr>
        <w:pStyle w:val="ListBullet"/>
      </w:pPr>
      <w:r>
        <w:t>Specialist manual review: clinician confirms the estimate or selects another stage.</w:t>
      </w:r>
    </w:p>
    <w:p>
      <w:pPr>
        <w:pStyle w:val="ListBullet"/>
      </w:pPr>
      <w:r>
        <w:t>Advanced calibration: clinician can adjust selected classical CV thresholds and reprocess the image.</w:t>
      </w:r>
    </w:p>
    <w:p>
      <w:pPr>
        <w:pStyle w:val="Heading1"/>
      </w:pPr>
      <w:r>
        <w:t>Recommended Defense Wording</w:t>
      </w:r>
    </w:p>
    <w:p>
      <w:r>
        <w:t>This project is a non-deep-learning diabetic retinopathy screening-support prototype. It uses traditional retinal image processing to extract handcrafted lesion, vessel, color, and texture features. A shallow scikit-learn model then estimates a screening stage from those tabular features. The system is not autonomous and is not clinically validated; its output must be reviewed by a qualified eye-care professional.</w:t>
      </w:r>
    </w:p>
    <w:p>
      <w:pPr>
        <w:pStyle w:val="Heading1"/>
      </w:pPr>
      <w:r>
        <w:t>Artifacts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700"/>
          </w:tcPr>
          <w:p>
            <w:r>
              <w:t>Trained model</w:t>
            </w:r>
          </w:p>
        </w:tc>
        <w:tc>
          <w:tcPr>
            <w:tcW w:type="dxa" w:w="6660"/>
          </w:tcPr>
          <w:p>
            <w:r>
              <w:t>backend/results/best_model.pkl</w:t>
            </w:r>
          </w:p>
        </w:tc>
      </w:tr>
      <w:tr>
        <w:tc>
          <w:tcPr>
            <w:tcW w:type="dxa" w:w="2700"/>
          </w:tcPr>
          <w:p>
            <w:r>
              <w:t>Model metadata</w:t>
            </w:r>
          </w:p>
        </w:tc>
        <w:tc>
          <w:tcPr>
            <w:tcW w:type="dxa" w:w="6660"/>
          </w:tcPr>
          <w:p>
            <w:r>
              <w:t>backend/results/best_model_metadata.json</w:t>
            </w:r>
          </w:p>
        </w:tc>
      </w:tr>
      <w:tr>
        <w:tc>
          <w:tcPr>
            <w:tcW w:type="dxa" w:w="2700"/>
          </w:tcPr>
          <w:p>
            <w:r>
              <w:t>Expanded feature table</w:t>
            </w:r>
          </w:p>
        </w:tc>
        <w:tc>
          <w:tcPr>
            <w:tcW w:type="dxa" w:w="6660"/>
          </w:tcPr>
          <w:p>
            <w:r>
              <w:t>backend/features.csv</w:t>
            </w:r>
          </w:p>
        </w:tc>
      </w:tr>
      <w:tr>
        <w:tc>
          <w:tcPr>
            <w:tcW w:type="dxa" w:w="2700"/>
          </w:tcPr>
          <w:p>
            <w:r>
              <w:t>API routes</w:t>
            </w:r>
          </w:p>
        </w:tc>
        <w:tc>
          <w:tcPr>
            <w:tcW w:type="dxa" w:w="6660"/>
          </w:tcPr>
          <w:p>
            <w:r>
              <w:t>GET /health, POST /analyze, GET /status/{task_id}, POST /analyze-sync</w:t>
            </w:r>
          </w:p>
        </w:tc>
      </w:tr>
      <w:tr>
        <w:tc>
          <w:tcPr>
            <w:tcW w:type="dxa" w:w="2700"/>
          </w:tcPr>
          <w:p>
            <w:r>
              <w:t>Frontend file</w:t>
            </w:r>
          </w:p>
        </w:tc>
        <w:tc>
          <w:tcPr>
            <w:tcW w:type="dxa" w:w="6660"/>
          </w:tcPr>
          <w:p>
            <w:r>
              <w:t>App.tsx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Holdout confusion matrix for the selected shallow tabular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One-vs-rest ROC curves for stage estimates.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AppDR Clinical Decision-Support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