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AllSeen Alliance</w:t>
      </w:r>
    </w:p>
    <w:p w:rsidR="00000000" w:rsidDel="00000000" w:rsidP="00000000" w:rsidRDefault="00000000" w:rsidRPr="00000000">
      <w:pPr>
        <w:contextualSpacing w:val="0"/>
      </w:pPr>
      <w:r w:rsidDel="00000000" w:rsidR="00000000" w:rsidRPr="00000000">
        <w:rPr>
          <w:rtl w:val="0"/>
        </w:rPr>
        <w:t xml:space="preserve">TSC Minutes</w:t>
      </w:r>
    </w:p>
    <w:p w:rsidR="00000000" w:rsidDel="00000000" w:rsidP="00000000" w:rsidRDefault="00000000" w:rsidRPr="00000000">
      <w:pPr>
        <w:contextualSpacing w:val="0"/>
      </w:pPr>
      <w:r w:rsidDel="00000000" w:rsidR="00000000" w:rsidRPr="00000000">
        <w:rPr>
          <w:rtl w:val="0"/>
        </w:rPr>
        <w:t xml:space="preserve">April 6, 2015</w:t>
      </w:r>
    </w:p>
    <w:p w:rsidR="00000000" w:rsidDel="00000000" w:rsidP="00000000" w:rsidRDefault="00000000" w:rsidRPr="00000000">
      <w:pPr>
        <w:contextualSpacing w:val="0"/>
      </w:pPr>
      <w:r w:rsidDel="00000000" w:rsidR="00000000" w:rsidRPr="00000000">
        <w:rPr>
          <w:rtl w:val="0"/>
        </w:rPr>
        <w:t xml:space="preserve">6:00am PDT</w:t>
      </w:r>
    </w:p>
    <w:p w:rsidR="00000000" w:rsidDel="00000000" w:rsidP="00000000" w:rsidRDefault="00000000" w:rsidRPr="00000000">
      <w:pPr>
        <w:contextualSpacing w:val="0"/>
      </w:pPr>
      <w:r w:rsidDel="00000000" w:rsidR="00000000" w:rsidRPr="00000000">
        <w:rPr>
          <w:rtl w:val="0"/>
        </w:rPr>
        <w:t xml:space="preserve">via WebEx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TSC Participants</w:t>
      </w:r>
    </w:p>
    <w:p w:rsidR="00000000" w:rsidDel="00000000" w:rsidP="00000000" w:rsidRDefault="00000000" w:rsidRPr="00000000">
      <w:pPr>
        <w:contextualSpacing w:val="0"/>
      </w:pPr>
      <w:r w:rsidDel="00000000" w:rsidR="00000000" w:rsidRPr="00000000">
        <w:rPr>
          <w:rtl w:val="0"/>
        </w:rPr>
        <w:t xml:space="preserve">Alex Kyungho Kim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Inwhan Choi on behalf of Byungjin Kim (LGE)</w:t>
      </w:r>
    </w:p>
    <w:p w:rsidR="00000000" w:rsidDel="00000000" w:rsidP="00000000" w:rsidRDefault="00000000" w:rsidRPr="00000000">
      <w:pPr>
        <w:contextualSpacing w:val="0"/>
      </w:pPr>
      <w:r w:rsidDel="00000000" w:rsidR="00000000" w:rsidRPr="00000000">
        <w:rPr>
          <w:rtl w:val="0"/>
        </w:rPr>
        <w:t xml:space="preserve">Fabrizio Dolce (Electrolux)</w:t>
      </w:r>
    </w:p>
    <w:p w:rsidR="00000000" w:rsidDel="00000000" w:rsidP="00000000" w:rsidRDefault="00000000" w:rsidRPr="00000000">
      <w:pPr>
        <w:contextualSpacing w:val="0"/>
      </w:pPr>
      <w:r w:rsidDel="00000000" w:rsidR="00000000" w:rsidRPr="00000000">
        <w:rPr>
          <w:rtl w:val="0"/>
        </w:rPr>
        <w:t xml:space="preserve">Art Lancaster (Affinegy)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Greg Burns (QCE)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Johan Svenér (Sony)</w:t>
      </w:r>
    </w:p>
    <w:p w:rsidR="00000000" w:rsidDel="00000000" w:rsidP="00000000" w:rsidRDefault="00000000" w:rsidRPr="00000000">
      <w:pPr>
        <w:contextualSpacing w:val="0"/>
      </w:pPr>
      <w:r w:rsidDel="00000000" w:rsidR="00000000" w:rsidRPr="00000000">
        <w:rPr>
          <w:rtl w:val="0"/>
        </w:rPr>
        <w:t xml:space="preserve">Mathew Martineau (QCE)</w:t>
      </w:r>
    </w:p>
    <w:p w:rsidR="00000000" w:rsidDel="00000000" w:rsidP="00000000" w:rsidRDefault="00000000" w:rsidRPr="00000000">
      <w:pPr>
        <w:contextualSpacing w:val="0"/>
      </w:pPr>
      <w:r w:rsidDel="00000000" w:rsidR="00000000" w:rsidRPr="00000000">
        <w:rPr>
          <w:rtl w:val="0"/>
        </w:rPr>
        <w:t xml:space="preserve">Marcello Lioy (QCE)</w:t>
      </w:r>
    </w:p>
    <w:p w:rsidR="00000000" w:rsidDel="00000000" w:rsidP="00000000" w:rsidRDefault="00000000" w:rsidRPr="00000000">
      <w:pPr>
        <w:contextualSpacing w:val="0"/>
      </w:pPr>
      <w:r w:rsidDel="00000000" w:rsidR="00000000" w:rsidRPr="00000000">
        <w:rPr>
          <w:rtl w:val="0"/>
        </w:rPr>
        <w:t xml:space="preserve">John Cameron (LIFX)</w:t>
      </w:r>
    </w:p>
    <w:p w:rsidR="00000000" w:rsidDel="00000000" w:rsidP="00000000" w:rsidRDefault="00000000" w:rsidRPr="00000000">
      <w:pPr>
        <w:contextualSpacing w:val="0"/>
      </w:pPr>
      <w:r w:rsidDel="00000000" w:rsidR="00000000" w:rsidRPr="00000000">
        <w:rPr>
          <w:rtl w:val="0"/>
        </w:rPr>
        <w:t xml:space="preserve">Takeshi Matsushita Ueda (Sharp)  </w:t>
      </w:r>
    </w:p>
    <w:p w:rsidR="00000000" w:rsidDel="00000000" w:rsidP="00000000" w:rsidRDefault="00000000" w:rsidRPr="00000000">
      <w:pPr>
        <w:contextualSpacing w:val="0"/>
      </w:pPr>
      <w:r w:rsidDel="00000000" w:rsidR="00000000" w:rsidRPr="00000000">
        <w:rPr>
          <w:rtl w:val="0"/>
        </w:rPr>
        <w:t xml:space="preserve">Torsten Stein (Microsoft)</w:t>
      </w:r>
    </w:p>
    <w:p w:rsidR="00000000" w:rsidDel="00000000" w:rsidP="00000000" w:rsidRDefault="00000000" w:rsidRPr="00000000">
      <w:pPr>
        <w:contextualSpacing w:val="0"/>
      </w:pPr>
      <w:r w:rsidDel="00000000" w:rsidR="00000000" w:rsidRPr="00000000">
        <w:rPr>
          <w:rtl w:val="0"/>
        </w:rPr>
        <w:t xml:space="preserve">Toru Ueda (Sony)</w:t>
      </w:r>
    </w:p>
    <w:p w:rsidR="00000000" w:rsidDel="00000000" w:rsidP="00000000" w:rsidRDefault="00000000" w:rsidRPr="00000000">
      <w:pPr>
        <w:contextualSpacing w:val="0"/>
      </w:pPr>
      <w:r w:rsidDel="00000000" w:rsidR="00000000" w:rsidRPr="00000000">
        <w:rPr>
          <w:rtl w:val="0"/>
        </w:rPr>
        <w:t xml:space="preserve">Jun Zhang (Haier)</w:t>
      </w:r>
    </w:p>
    <w:p w:rsidR="00000000" w:rsidDel="00000000" w:rsidP="00000000" w:rsidRDefault="00000000" w:rsidRPr="00000000">
      <w:pPr>
        <w:contextualSpacing w:val="0"/>
      </w:pPr>
      <w:r w:rsidDel="00000000" w:rsidR="00000000" w:rsidRPr="00000000">
        <w:rPr>
          <w:rtl w:val="0"/>
        </w:rPr>
        <w:t xml:space="preserve">Dino Natucci (Microsoft)</w:t>
      </w:r>
    </w:p>
    <w:p w:rsidR="00000000" w:rsidDel="00000000" w:rsidP="00000000" w:rsidRDefault="00000000" w:rsidRPr="00000000">
      <w:pPr>
        <w:contextualSpacing w:val="0"/>
      </w:pPr>
      <w:r w:rsidDel="00000000" w:rsidR="00000000" w:rsidRPr="00000000">
        <w:rPr>
          <w:rtl w:val="0"/>
        </w:rPr>
        <w:t xml:space="preserve">Brad Kemp (Beechwoods)</w:t>
      </w:r>
    </w:p>
    <w:p w:rsidR="00000000" w:rsidDel="00000000" w:rsidP="00000000" w:rsidRDefault="00000000" w:rsidRPr="00000000">
      <w:pPr>
        <w:contextualSpacing w:val="0"/>
      </w:pPr>
      <w:r w:rsidDel="00000000" w:rsidR="00000000" w:rsidRPr="00000000">
        <w:rPr>
          <w:rtl w:val="0"/>
        </w:rPr>
        <w:t xml:space="preserve">Garey Hasslet (CableLabs)</w:t>
      </w:r>
    </w:p>
    <w:p w:rsidR="00000000" w:rsidDel="00000000" w:rsidP="00000000" w:rsidRDefault="00000000" w:rsidRPr="00000000">
      <w:pPr>
        <w:contextualSpacing w:val="0"/>
      </w:pPr>
      <w:r w:rsidDel="00000000" w:rsidR="00000000" w:rsidRPr="00000000">
        <w:rPr>
          <w:rtl w:val="0"/>
        </w:rPr>
        <w:t xml:space="preserve">David Kaufman (Honeywell)</w:t>
      </w:r>
    </w:p>
    <w:p w:rsidR="00000000" w:rsidDel="00000000" w:rsidP="00000000" w:rsidRDefault="00000000" w:rsidRPr="00000000">
      <w:pPr>
        <w:contextualSpacing w:val="0"/>
      </w:pPr>
      <w:r w:rsidDel="00000000" w:rsidR="00000000" w:rsidRPr="00000000">
        <w:rPr>
          <w:rtl w:val="0"/>
        </w:rPr>
        <w:t xml:space="preserve">Greg Burns Jones (MachineShop)</w:t>
      </w:r>
    </w:p>
    <w:p w:rsidR="00000000" w:rsidDel="00000000" w:rsidP="00000000" w:rsidRDefault="00000000" w:rsidRPr="00000000">
      <w:pPr>
        <w:contextualSpacing w:val="0"/>
      </w:pPr>
      <w:r w:rsidDel="00000000" w:rsidR="00000000" w:rsidRPr="00000000">
        <w:rPr>
          <w:rtl w:val="0"/>
        </w:rPr>
        <w:t xml:space="preserve">Ogawa (Panasonic)</w:t>
      </w:r>
    </w:p>
    <w:p w:rsidR="00000000" w:rsidDel="00000000" w:rsidP="00000000" w:rsidRDefault="00000000" w:rsidRPr="00000000">
      <w:pPr>
        <w:contextualSpacing w:val="0"/>
      </w:pPr>
      <w:r w:rsidDel="00000000" w:rsidR="00000000" w:rsidRPr="00000000">
        <w:rPr>
          <w:rtl w:val="0"/>
        </w:rPr>
        <w:t xml:space="preserve">Paolo Patierno (MSFT)</w:t>
      </w:r>
    </w:p>
    <w:p w:rsidR="00000000" w:rsidDel="00000000" w:rsidP="00000000" w:rsidRDefault="00000000" w:rsidRPr="00000000">
      <w:pPr>
        <w:contextualSpacing w:val="0"/>
      </w:pPr>
      <w:r w:rsidDel="00000000" w:rsidR="00000000" w:rsidRPr="00000000">
        <w:rPr>
          <w:rtl w:val="0"/>
        </w:rPr>
        <w:t xml:space="preserve">Leo Dorrendof</w:t>
      </w:r>
    </w:p>
    <w:p w:rsidR="00000000" w:rsidDel="00000000" w:rsidP="00000000" w:rsidRDefault="00000000" w:rsidRPr="00000000">
      <w:pPr>
        <w:contextualSpacing w:val="0"/>
      </w:pPr>
      <w:r w:rsidDel="00000000" w:rsidR="00000000" w:rsidRPr="00000000">
        <w:rPr>
          <w:rtl w:val="0"/>
        </w:rPr>
        <w:t xml:space="preserve">Chris Kavas (QCE)</w:t>
      </w:r>
    </w:p>
    <w:p w:rsidR="00000000" w:rsidDel="00000000" w:rsidP="00000000" w:rsidRDefault="00000000" w:rsidRPr="00000000">
      <w:pPr>
        <w:contextualSpacing w:val="0"/>
      </w:pPr>
      <w:r w:rsidDel="00000000" w:rsidR="00000000" w:rsidRPr="00000000">
        <w:rPr>
          <w:rtl w:val="0"/>
        </w:rPr>
        <w:t xml:space="preserve">Philip DesAutels (Linux Foundation)</w:t>
      </w:r>
    </w:p>
    <w:p w:rsidR="00000000" w:rsidDel="00000000" w:rsidP="00000000" w:rsidRDefault="00000000" w:rsidRPr="00000000">
      <w:pPr>
        <w:contextualSpacing w:val="0"/>
      </w:pPr>
      <w:r w:rsidDel="00000000" w:rsidR="00000000" w:rsidRPr="00000000">
        <w:rPr>
          <w:rtl w:val="0"/>
        </w:rPr>
        <w:t xml:space="preserve">Telis (QCE)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Whitney True</w:t>
      </w:r>
      <w:r w:rsidDel="00000000" w:rsidR="00000000" w:rsidRPr="00000000">
        <w:rPr>
          <w:rtl w:val="0"/>
        </w:rPr>
        <w:t xml:space="preserve"> agreed to take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Antitrust Compliance Notice</w:t>
        <w:tab/>
      </w:r>
    </w:p>
    <w:p w:rsidR="00000000" w:rsidDel="00000000" w:rsidP="00000000" w:rsidRDefault="00000000" w:rsidRPr="00000000">
      <w:pPr>
        <w:contextualSpacing w:val="0"/>
      </w:pPr>
      <w:r w:rsidDel="00000000" w:rsidR="00000000" w:rsidRPr="00000000">
        <w:rPr>
          <w:rtl w:val="0"/>
        </w:rPr>
        <w:t xml:space="preserve">Greg Burns reminded the TSC of its antitrust compliance notice.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Recording Notice</w:t>
      </w:r>
    </w:p>
    <w:p w:rsidR="00000000" w:rsidDel="00000000" w:rsidP="00000000" w:rsidRDefault="00000000" w:rsidRPr="00000000">
      <w:pPr>
        <w:contextualSpacing w:val="0"/>
      </w:pPr>
      <w:r w:rsidDel="00000000" w:rsidR="00000000" w:rsidRPr="00000000">
        <w:rPr>
          <w:rtl w:val="0"/>
        </w:rPr>
        <w:t xml:space="preserve">Greg Burns reminded that the call is being recording</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b w:val="1"/>
          <w:rtl w:val="0"/>
        </w:rPr>
        <w:t xml:space="preserve">Greg Burns introduced the agenda for the meeting:</w:t>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sz w:val="24"/>
          <w:rtl w:val="0"/>
        </w:rPr>
        <w:t xml:space="preserve">Approve minutes from </w:t>
      </w:r>
      <w:r w:rsidDel="00000000" w:rsidR="00000000" w:rsidRPr="00000000">
        <w:rPr>
          <w:rtl w:val="0"/>
        </w:rPr>
        <w:t xml:space="preserve">March 26, 2015 meeting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Vote: Naming conventions for interfaces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New Working Group structure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TSC charter updates (Philip DesAutels)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Technical Outreach Proposal (Philip DesAutels)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Smart Spaces Working Group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MSFT’s project proposal and vote for approval (Torsten Stein)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Location Services Update (Beechwood)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Approve minutes from the previous meeting</w:t>
      </w:r>
    </w:p>
    <w:p w:rsidR="00000000" w:rsidDel="00000000" w:rsidP="00000000" w:rsidRDefault="00000000" w:rsidRPr="00000000">
      <w:pPr>
        <w:contextualSpacing w:val="0"/>
      </w:pPr>
      <w:r w:rsidDel="00000000" w:rsidR="00000000" w:rsidRPr="00000000">
        <w:rPr>
          <w:rtl w:val="0"/>
        </w:rPr>
        <w:t xml:space="preserve">Greg Burns called for a motion to approve the minutes from the </w:t>
      </w:r>
      <w:r w:rsidDel="00000000" w:rsidR="00000000" w:rsidRPr="00000000">
        <w:rPr>
          <w:b w:val="1"/>
          <w:rtl w:val="0"/>
        </w:rPr>
        <w:t xml:space="preserve">March 26, 2015 </w:t>
      </w:r>
      <w:r w:rsidDel="00000000" w:rsidR="00000000" w:rsidRPr="00000000">
        <w:rPr>
          <w:rtl w:val="0"/>
        </w:rPr>
        <w:t xml:space="preserve">meeting. Moved, seconded, than unanimously approved by TSC.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Vote: Naming Conventions for Interfaces</w:t>
      </w:r>
    </w:p>
    <w:p w:rsidR="00000000" w:rsidDel="00000000" w:rsidP="00000000" w:rsidRDefault="00000000" w:rsidRPr="00000000">
      <w:pPr>
        <w:contextualSpacing w:val="0"/>
      </w:pPr>
      <w:r w:rsidDel="00000000" w:rsidR="00000000" w:rsidRPr="00000000">
        <w:rPr>
          <w:rtl w:val="0"/>
        </w:rPr>
        <w:t xml:space="preserve">Greg Burns proposed renaming convention for sample code interfaces for consistency. IRB has standardized on ‘org.alljoyn’ prefix for interfaces. All standard interfaces on base and core, they all begin ‘org.alljoyn’. Burns reminded TSC that when Alliance was formed, AllSeen did not own ‘org.alljoyn’ or the AllJoyn trademark - still held by QCE at that time - but ownership has since transferred for both.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Burns proposed that ‘org.alljoyn’ is used for consistency across user interfaces.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Burns requested motion to revert prefix for standard interfaces to ‘org.alljoyn’ using chat window. Chat vote was executed and unanimously approved.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Burns then moved on to propose using ‘org.alljoyn.example’ as the default prefix used in interfaces used by sample and test apps.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Mathew Martineau (QCE) raised concern that anyone who builds proprietary interface using AllJoyn could incorrectly use “AllJoyn”.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Paolo Patierno (MSFT)noted that C&amp;C would fail if there is not an approved interface.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Burns noted original propsoal was org.example but that suggestion was not accepted.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DesAutels noted that there are an astronomical amount of apps with “contoso” in the name for MSFT. Said people will include “alljoyn” regardless.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Burns asked should it be ‘org.example’ so that we make it less likely that people will mistakenly use AllJoyn.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Brad Kemp (Beechwood) suggested that we use ‘org.allseen’ instead to avoid confusion.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Burns confirmed objective to be so that apps are clearly distinguishable from real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Mike Dolan reminds TSC that when AllSeen trademark was filed it was for intention of use around the Foundation as an Alliance. To use ‘AllSeen’ we would need to check parameters of use around files for code. AllJoyn from trademark perspective is preferable because it’s already reserved. Noted that if topic of AllSeen ever comes up, we would have to consider getting rights to do so.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Burns proposed that discussion and voting be taken to mailing lists.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Working Groups</w:t>
      </w:r>
    </w:p>
    <w:p w:rsidR="00000000" w:rsidDel="00000000" w:rsidP="00000000" w:rsidRDefault="00000000" w:rsidRPr="00000000">
      <w:pPr>
        <w:contextualSpacing w:val="0"/>
      </w:pPr>
      <w:r w:rsidDel="00000000" w:rsidR="00000000" w:rsidRPr="00000000">
        <w:rPr>
          <w:rtl w:val="0"/>
        </w:rPr>
        <w:t xml:space="preserve">Burns reminded TSC of previous face-to-face meeting where TSC rationalized some of the Working Groups. In doing so, the Alliance re-organized into six Working Groups and reminded that the chairs from those removed Working Groups are no longer voting members of the TSC but continue to be maintainers and committers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Recap of changes made: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Location Services Project, Base Services and Media Delivery Project are now under the Common Frameworks Working Group.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Compliance and Certification maintains its charter. The full time chair is Ram Jeyaraman (MSFT). Telis has been providing interim leadership for the past year; Burns noted he will continue to be involved but Ram will now take over as full time leadership of group.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Core Working Group includes Security 2.0 and Data Drive API. Data Driven API was moved to Core Working Group which resulted in elimination of that as a distinct working group. Dominque remains representative of Technicolor membership because of the company’s Premier Membership.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Developer Support Working Group - renamed from Developer Tools. Mathew Martineau continues to chair this group. The project under this working group is the co-generator. TSC anticipates having other code generators and tools and felt having a landing place for that group made sense. Burns noted that anyone working on IDEs or two integrations like Eclipse plugins should fall into this Working Group.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Gateway Working Group - continues to be chaired by Art Lancaster and maintains its current mission. Telemety Working Group for analytics did not make sense as a standalone working group. We renamed to Analytics Connector Project but remained under the Gateway Working Group. It is still led by John. Update Service Project remains under Gateway Working Group and work has picked up. TBD: Microsoft's connected proposal to fall in this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Smart Spaces Working Group - formerly Smart Home Working Group. Smart Home Working group is now the Home Controller Project. TSC also found a home for HAE project (previously standalone project) to fall under smart spaces. Connected Lighting Projects also moved to Smart Spaces - did not seem to justify it’s own working group. Marc Alexander lost his chair on TSC but continues to be maintainer of Connected Lighting Working Group.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Discussion Groups - DesAutels confirmed this is a statement of fact re: existing discussion groups. Burns clarified there is a distinct difference between Working Groups and Discussion Groups. There are two discussion groups: connected car project and energy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TSC Charter Updates</w:t>
      </w:r>
    </w:p>
    <w:p w:rsidR="00000000" w:rsidDel="00000000" w:rsidP="00000000" w:rsidRDefault="00000000" w:rsidRPr="00000000">
      <w:pPr>
        <w:contextualSpacing w:val="0"/>
      </w:pPr>
      <w:r w:rsidDel="00000000" w:rsidR="00000000" w:rsidRPr="00000000">
        <w:rPr>
          <w:rtl w:val="0"/>
        </w:rPr>
        <w:t xml:space="preserve">Philip DesAutels walked TSC through updates.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Noted update to AllSeen Alliance bylaws change - approved at March Board of Directors meeting. Notes full changed text is on the website.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DesAutels summarized bylaws change: originally any Premier Member was given seat on TSC but that TSC seat was forfeited should they have someone that sat on working group. The WG chair would take over TSC chair. The issue raised was that someone chairing a WG would be a specific resource of that company vs. TSC representative who may want to have a broader knowledge than domain expert from that company.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Revision: Bylaws change now allows Premier Members to have both the TSC seat AND WG Chair seat if they choose to do so.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TSC Charter change added: If a member misses three meetings; their voting rights are suspended until they are able to attend a TSC meeting. The Charter change impacts how we come to quorum. When the TSC member begins attending meetings, their voting rights resume.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TSC Charter change added: a member of the TSC with suspended voting rights can not vote in absentis via email and they can not participate in email votes. </w:t>
      </w:r>
    </w:p>
    <w:p w:rsidR="00000000" w:rsidDel="00000000" w:rsidP="00000000" w:rsidRDefault="00000000" w:rsidRPr="00000000">
      <w:pPr>
        <w:contextualSpacing w:val="0"/>
      </w:pPr>
      <w:r w:rsidDel="00000000" w:rsidR="00000000" w:rsidRPr="00000000">
        <w:rPr>
          <w:rtl w:val="0"/>
        </w:rPr>
        <w:br w:type="textWrapping"/>
        <w:t xml:space="preserve">Ram asked clarifying question: When does suspension come into effect- after second or beginning of third meeting?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DesAutels clarified suspension occurs on the third meeting. If member company is present, voting can take place. If at the third meeting, member is not present,  voting rights are lost.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Ram: IF you missed two meetings, you suspend voting rights at the end of second meeting?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DesAutels clarified that voting is suspended at beginning of third meeting only if member is not present.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Burns clarified that quorum requirements will also be altered if a member is suspended from voting rights. Noted that there has only been one meeting where quorum was not met. Reminded TSC members that alternate can be designated if  unable to make a TSC meeting. Send an email to TSC ahead of time indicating who will represent in your place for quorum and voting rights.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Technical Outreach Proposal</w:t>
      </w:r>
    </w:p>
    <w:p w:rsidR="00000000" w:rsidDel="00000000" w:rsidP="00000000" w:rsidRDefault="00000000" w:rsidRPr="00000000">
      <w:pPr>
        <w:contextualSpacing w:val="0"/>
      </w:pPr>
      <w:r w:rsidDel="00000000" w:rsidR="00000000" w:rsidRPr="00000000">
        <w:rPr>
          <w:rtl w:val="0"/>
        </w:rPr>
        <w:t xml:space="preserve">At TSC face-to-face, discussion about technical outreach. Result was two fold: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Developer starter kits</w:t>
      </w:r>
      <w:r w:rsidDel="00000000" w:rsidR="00000000" w:rsidRPr="00000000">
        <w:rPr>
          <w:rtl w:val="0"/>
        </w:rPr>
        <w:t xml:space="preserve">: After talking to Ryo/Weaved, we would start by defining ‘a’ starter kit as a basis for starting. DogHunter has also agreed to help with definition. DesAutels confirmed this is not meant to be a comprehensive definition, but just ‘a’ starter kit. Alliance will have generalized kit and members will be able to adjust to fit their needs.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Technical training</w:t>
      </w:r>
      <w:r w:rsidDel="00000000" w:rsidR="00000000" w:rsidRPr="00000000">
        <w:rPr>
          <w:rtl w:val="0"/>
        </w:rPr>
        <w:t xml:space="preserve">: After talking to members at TSC face-to-face, the thought is that the Alliance needs an all-day training event, focused primarily on members. Goal is to arrange meetings in different geos to get members up to speed with fairly technical information (level 200, level 300).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Dino asked about technical training for external organizations and outreach programs.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DesAutels confirmed that this could be incorporated.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Burns suggested that we do a better job coordinating content for technical trainings.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Burns confirmed we have standard presentations on the Alliance website and acknowledged they are hard to find.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Dino noted that the slides are not tailored to technical audiences.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Burns affirmed need for more technical slide stack.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Dino asked if Technical Training will go into a Working Group.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DesAutels noted there is overwhelming interest but underwhelming commitment to launch. Noted it is more of an administrative function at the moment.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Burns noted this represents an opportunity for member companies to showcase their own added value on top of starter kit. It’s more of a motivation. It is an opportunity for members to get brand and added value in front of potential customers.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Burns closed discussion due to timing constraints.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 Spaces Working Group Update</w:t>
      </w:r>
    </w:p>
    <w:p w:rsidR="00000000" w:rsidDel="00000000" w:rsidP="00000000" w:rsidRDefault="00000000" w:rsidRPr="00000000">
      <w:pPr>
        <w:contextualSpacing w:val="0"/>
      </w:pPr>
      <w:r w:rsidDel="00000000" w:rsidR="00000000" w:rsidRPr="00000000">
        <w:rPr>
          <w:rtl w:val="0"/>
        </w:rPr>
        <w:t xml:space="preserve">Burns opens discussion. Smart Spaces Working Group is a new charter. The WG committers need to get together and vote in a chair of the WG. Burns remneded project members to get this going as quickly as possible.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DesAutels noted a call went out to all committers for a vote to come in by EOD Thursday, April 9. Confirmed we have nominations and movement is happening.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Proposal: The Device System Bridge (DSB)</w:t>
      </w:r>
    </w:p>
    <w:p w:rsidR="00000000" w:rsidDel="00000000" w:rsidP="00000000" w:rsidRDefault="00000000" w:rsidRPr="00000000">
      <w:pPr>
        <w:contextualSpacing w:val="0"/>
      </w:pPr>
      <w:r w:rsidDel="00000000" w:rsidR="00000000" w:rsidRPr="00000000">
        <w:rPr>
          <w:rtl w:val="0"/>
        </w:rPr>
        <w:t xml:space="preserve">Burns asked Torsten Stein to run through overview.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Torsten: MSFT would like to propose DSB - integrate a common framework into AllJoyn devices to bridge non-AllJoyn world. The proposal is to have a common framework for systems like ZWave to be integrated.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Call to vote: The Device System Bridge (DSB) under the Gateway Agent Framework Working Group.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Committers and contributors: Torstein Stein (MSFT), Artem Zhurid (MSFT)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Proposed release schedule: MSFT will release first version of DSB by 4/29/2015 to align with announcement of DSB at Build Conference.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Burns motioned for vote to approve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Dino motioned, Dominique second.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Burns calls for vote via chat window. Motion was unanimously approved.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Location Services Update</w:t>
      </w:r>
    </w:p>
    <w:p w:rsidR="00000000" w:rsidDel="00000000" w:rsidP="00000000" w:rsidRDefault="00000000" w:rsidRPr="00000000">
      <w:pPr>
        <w:contextualSpacing w:val="0"/>
      </w:pPr>
      <w:r w:rsidDel="00000000" w:rsidR="00000000" w:rsidRPr="00000000">
        <w:rPr>
          <w:rtl w:val="0"/>
        </w:rPr>
        <w:t xml:space="preserve">Brad Kemp (Beechwoods) gave overview of current progress of group. Design complete for presence, proximity and location. Any groups working on devices - please work  to ensure we don’t duplicate efforts.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Provided overview of schedule.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Burns asked if code has been contributed. </w:t>
      </w:r>
    </w:p>
    <w:p w:rsidR="00000000" w:rsidDel="00000000" w:rsidP="00000000" w:rsidRDefault="00000000" w:rsidRPr="00000000">
      <w:pPr>
        <w:contextualSpacing w:val="0"/>
      </w:pPr>
      <w:r w:rsidDel="00000000" w:rsidR="00000000" w:rsidRPr="00000000">
        <w:rPr>
          <w:rtl w:val="0"/>
        </w:rPr>
        <w:br w:type="textWrapping"/>
        <w:t xml:space="preserve">Brad confirmed that commit will start after blessing from IRB.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Burns asked if there are documentation.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Brad confirmed documentation will be up once submitted to IRB.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Greg Burns</w:t>
      </w:r>
      <w:r w:rsidDel="00000000" w:rsidR="00000000" w:rsidRPr="00000000">
        <w:rPr>
          <w:rtl w:val="0"/>
        </w:rPr>
        <w:t xml:space="preserve"> closed call.</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u w:val="none"/>
        <w:vertAlign w:val="baseline"/>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before="0" w:lineRule="auto"/>
      <w:contextualSpacing w:val="1"/>
    </w:pPr>
    <w:rPr>
      <w:b w:val="0"/>
      <w:sz w:val="22"/>
    </w:rPr>
  </w:style>
  <w:style w:type="paragraph" w:styleId="Heading2">
    <w:name w:val="heading 2"/>
    <w:basedOn w:val="Normal"/>
    <w:next w:val="Normal"/>
    <w:pPr>
      <w:keepNext w:val="0"/>
      <w:keepLines w:val="0"/>
      <w:spacing w:after="0" w:before="0" w:lineRule="auto"/>
      <w:contextualSpacing w:val="1"/>
    </w:pPr>
    <w:rPr>
      <w:b w:val="0"/>
      <w:sz w:val="22"/>
    </w:rPr>
  </w:style>
  <w:style w:type="paragraph" w:styleId="Heading3">
    <w:name w:val="heading 3"/>
    <w:basedOn w:val="Normal"/>
    <w:next w:val="Normal"/>
    <w:pPr>
      <w:keepNext w:val="0"/>
      <w:keepLines w:val="0"/>
      <w:spacing w:after="0" w:before="0" w:lineRule="auto"/>
      <w:contextualSpacing w:val="1"/>
    </w:pPr>
    <w:rPr>
      <w:b w:val="0"/>
      <w:sz w:val="22"/>
    </w:rPr>
  </w:style>
  <w:style w:type="paragraph" w:styleId="Heading4">
    <w:name w:val="heading 4"/>
    <w:basedOn w:val="Normal"/>
    <w:next w:val="Normal"/>
    <w:pPr>
      <w:keepNext w:val="0"/>
      <w:keepLines w:val="0"/>
      <w:spacing w:after="0" w:before="0" w:lineRule="auto"/>
      <w:contextualSpacing w:val="1"/>
    </w:pPr>
    <w:rPr>
      <w:b w:val="0"/>
      <w:sz w:val="22"/>
    </w:rPr>
  </w:style>
  <w:style w:type="paragraph" w:styleId="Heading5">
    <w:name w:val="heading 5"/>
    <w:basedOn w:val="Normal"/>
    <w:next w:val="Normal"/>
    <w:pPr>
      <w:keepNext w:val="0"/>
      <w:keepLines w:val="0"/>
      <w:spacing w:after="0" w:before="0" w:lineRule="auto"/>
      <w:contextualSpacing w:val="1"/>
    </w:pPr>
    <w:rPr>
      <w:b w:val="0"/>
      <w:sz w:val="22"/>
    </w:rPr>
  </w:style>
  <w:style w:type="paragraph" w:styleId="Heading6">
    <w:name w:val="heading 6"/>
    <w:basedOn w:val="Normal"/>
    <w:next w:val="Normal"/>
    <w:pPr>
      <w:keepNext w:val="0"/>
      <w:keepLines w:val="0"/>
      <w:spacing w:after="0" w:before="0" w:lineRule="auto"/>
      <w:contextualSpacing w:val="1"/>
    </w:pPr>
    <w:rPr>
      <w:b w:val="0"/>
      <w:sz w:val="22"/>
    </w:rPr>
  </w:style>
  <w:style w:type="paragraph" w:styleId="Title">
    <w:name w:val="Title"/>
    <w:basedOn w:val="Normal"/>
    <w:next w:val="Normal"/>
    <w:pPr>
      <w:keepNext w:val="0"/>
      <w:keepLines w:val="0"/>
      <w:spacing w:after="0" w:before="0" w:lineRule="auto"/>
      <w:contextualSpacing w:val="1"/>
    </w:pPr>
    <w:rPr>
      <w:b w:val="0"/>
      <w:sz w:val="22"/>
    </w:rPr>
  </w:style>
  <w:style w:type="paragraph" w:styleId="Subtitle">
    <w:name w:val="Subtitle"/>
    <w:basedOn w:val="Normal"/>
    <w:next w:val="Normal"/>
    <w:pPr>
      <w:keepNext w:val="0"/>
      <w:keepLines w:val="0"/>
      <w:spacing w:after="0" w:before="0" w:lineRule="auto"/>
      <w:contextualSpacing w:val="1"/>
    </w:pPr>
    <w:rPr>
      <w:rFonts w:ascii="Arial" w:cs="Arial" w:eastAsia="Arial" w:hAnsi="Arial"/>
      <w:i w:val="0"/>
      <w:color w:val="000000"/>
      <w:sz w:val="22"/>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