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rFonts w:ascii="Arial" w:cs="Arial" w:eastAsia="Arial" w:hAnsi="Arial"/>
          <w:b/>
          <w:bCs/>
          <w:color w:val="0A2540"/>
          <w:sz w:val="72"/>
          <w:szCs w:val="72"/>
        </w:rPr>
        <w:t xml:space="preserve">NGN FISHING</w:t>
      </w:r>
    </w:p>
    <w:p>
      <w:pPr>
        <w:spacing w:after="200"/>
        <w:jc w:val="center"/>
      </w:pPr>
      <w:r>
        <w:rPr>
          <w:rFonts w:ascii="Arial" w:cs="Arial" w:eastAsia="Arial" w:hAnsi="Arial"/>
          <w:i/>
          <w:iCs/>
          <w:color w:val="1A6B8A"/>
          <w:sz w:val="32"/>
          <w:szCs w:val="32"/>
        </w:rPr>
        <w:t xml:space="preserve">No Guide Needed™</w:t>
      </w:r>
    </w:p>
    <w:p>
      <w:pPr>
        <w:spacing w:after="600"/>
        <w:jc w:val="center"/>
      </w:pPr>
      <w:r>
        <w:rPr>
          <w:rFonts w:ascii="Arial" w:cs="Arial" w:eastAsia="Arial" w:hAnsi="Arial"/>
          <w:i/>
          <w:iCs/>
          <w:color w:val="4ECDC4"/>
          <w:sz w:val="24"/>
          <w:szCs w:val="24"/>
        </w:rPr>
        <w:t xml:space="preserve">Any water. Any shore. No guide needed.</w:t>
      </w:r>
    </w:p>
    <w:p>
      <w:pPr>
        <w:pBdr>
          <w:top w:val="single" w:color="4ECDC4" w:sz="6" w:space="8"/>
        </w:pBdr>
        <w:spacing w:before="400"/>
        <w:jc w:val="center"/>
      </w:pPr>
      <w:r>
        <w:rPr>
          <w:rFonts w:ascii="Arial" w:cs="Arial" w:eastAsia="Arial" w:hAnsi="Arial"/>
          <w:b/>
          <w:bCs/>
          <w:color w:val="0A2540"/>
          <w:sz w:val="28"/>
          <w:szCs w:val="28"/>
        </w:rPr>
        <w:t xml:space="preserve">MARKETING &amp; RETAIL PARTNERSHIP PLAN</w:t>
      </w:r>
    </w:p>
    <w:p>
      <w:pPr>
        <w:spacing w:before="300"/>
        <w:jc w:val="center"/>
      </w:pPr>
      <w:r>
        <w:rPr>
          <w:rFonts w:ascii="Arial" w:cs="Arial" w:eastAsia="Arial" w:hAnsi="Arial"/>
          <w:color w:val="1A6B8A"/>
          <w:sz w:val="22"/>
          <w:szCs w:val="22"/>
        </w:rPr>
        <w:t xml:space="preserve">Prepared by Oak Angel Digital, LLC</w:t>
      </w:r>
    </w:p>
    <w:p>
      <w:pPr>
        <w:jc w:val="center"/>
      </w:pPr>
      <w:r>
        <w:rPr>
          <w:rFonts w:ascii="Arial" w:cs="Arial" w:eastAsia="Arial" w:hAnsi="Arial"/>
          <w:color w:val="666666"/>
          <w:sz w:val="20"/>
          <w:szCs w:val="20"/>
        </w:rPr>
        <w:t xml:space="preserve">April 2026  |  Confidential</w:t>
      </w:r>
    </w:p>
    <w:p>
      <w:pPr>
        <w:sectPr>
          <w:pgSz w:w="12240" w:h="15840" w:orient="portrait"/>
          <w:pgMar w:top="1440" w:right="1440" w:bottom="1440" w:left="1440" w:header="708" w:footer="708" w:gutter="0"/>
          <w:pgNumType/>
          <w:docGrid w:linePitch="360"/>
        </w:sectPr>
      </w:pPr>
    </w:p>
    <w:p>
      <w:pPr>
        <w:pStyle w:val="Heading1"/>
      </w:pPr>
      <w:r>
        <w:t xml:space="preserve">Executive Summary</w:t>
      </w:r>
    </w:p>
    <w:p>
      <w:pPr>
        <w:spacing w:after="200"/>
      </w:pPr>
      <w:r>
        <w:rPr>
          <w:sz w:val="22"/>
          <w:szCs w:val="22"/>
        </w:rPr>
        <w:t xml:space="preserve">NGN Fishing (“No Guide Needed”) is an AI-powered fishing intelligence app that replaces the need for a paid fishing charter guide. The app generates personalized fishing reports with real-time conditions analysis, GPS navigation to hidden spots, species-specific rig and bait recommendations, and push-notification move-timing alerts — all powered by artificial intelligence.</w:t>
      </w:r>
    </w:p>
    <w:p>
      <w:pPr>
        <w:spacing w:after="200"/>
      </w:pPr>
      <w:r>
        <w:rPr>
          <w:sz w:val="22"/>
          <w:szCs w:val="22"/>
        </w:rPr>
        <w:t xml:space="preserve">The platform serves every type of angler: boat, kayak, shore, surf, and dock fishermen across the Southeast USA (SC, NC, GA, FL). A built-in knot tying guide, rig assembly guide, and AI-powered structure scout make it the most complete fishing companion on the market.</w:t>
      </w:r>
    </w:p>
    <w:p>
      <w:pPr>
        <w:spacing w:after="200"/>
      </w:pPr>
      <w:r>
        <w:rPr>
          <w:sz w:val="22"/>
          <w:szCs w:val="22"/>
        </w:rPr>
        <w:t xml:space="preserve">This document outlines the marketing strategy, retail partnership model, and in-app commerce opportunity that positions NGN Fishing as both a consumer product and a retail distribution channel for fishing gear manufacturers and retailers.</w:t>
      </w:r>
    </w:p>
    <w:p>
      <w:pPr>
        <w:pStyle w:val="Heading1"/>
      </w:pPr>
      <w:r>
        <w:t xml:space="preserve">Revenue Model</w:t>
      </w:r>
    </w:p>
    <w:p>
      <w:pPr>
        <w:pStyle w:val="Heading2"/>
      </w:pPr>
      <w:r>
        <w:t xml:space="preserve">Stream 1: Subscriptions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A2540" w:val="clear"/>
            <w:tcMar>
              <w:top w:type="dxa" w:w="60"/>
              <w:left w:type="dxa" w:w="100"/>
              <w:bottom w:type="dxa" w:w="60"/>
              <w:right w:type="dxa" w:w="100"/>
            </w:tcMar>
          </w:tcPr>
          <w:p>
            <w:pPr>
              <w:jc w:val="left"/>
            </w:pPr>
            <w:r>
              <w:rPr>
                <w:rFonts w:ascii="Arial" w:cs="Arial" w:eastAsia="Arial" w:hAnsi="Arial"/>
                <w:b/>
                <w:bCs/>
                <w:color w:val="FFFFFF"/>
                <w:sz w:val="20"/>
                <w:szCs w:val="20"/>
              </w:rPr>
              <w:t xml:space="preserve">TIER</w:t>
            </w:r>
          </w:p>
        </w:tc>
        <w:tc>
          <w:tcPr>
            <w:tcW w:type="dxa" w:w="3120"/>
            <w:tcBorders>
              <w:top w:val="single" w:color="CCCCCC" w:sz="1"/>
              <w:left w:val="single" w:color="CCCCCC" w:sz="1"/>
              <w:bottom w:val="single" w:color="CCCCCC" w:sz="1"/>
              <w:right w:val="single" w:color="CCCCCC" w:sz="1"/>
            </w:tcBorders>
            <w:shd w:fill="0A2540"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PRICE</w:t>
            </w:r>
          </w:p>
        </w:tc>
        <w:tc>
          <w:tcPr>
            <w:tcW w:type="dxa" w:w="3120"/>
            <w:tcBorders>
              <w:top w:val="single" w:color="CCCCCC" w:sz="1"/>
              <w:left w:val="single" w:color="CCCCCC" w:sz="1"/>
              <w:bottom w:val="single" w:color="CCCCCC" w:sz="1"/>
              <w:right w:val="single" w:color="CCCCCC" w:sz="1"/>
            </w:tcBorders>
            <w:shd w:fill="0A2540" w:val="clear"/>
            <w:tcMar>
              <w:top w:type="dxa" w:w="60"/>
              <w:left w:type="dxa" w:w="100"/>
              <w:bottom w:type="dxa" w:w="60"/>
              <w:right w:type="dxa" w:w="100"/>
            </w:tcMar>
          </w:tcPr>
          <w:p>
            <w:pPr>
              <w:jc w:val="left"/>
            </w:pPr>
            <w:r>
              <w:rPr>
                <w:rFonts w:ascii="Arial" w:cs="Arial" w:eastAsia="Arial" w:hAnsi="Arial"/>
                <w:b/>
                <w:bCs/>
                <w:color w:val="FFFFFF"/>
                <w:sz w:val="20"/>
                <w:szCs w:val="20"/>
              </w:rPr>
              <w:t xml:space="preserve">INCLUDES</w:t>
            </w:r>
          </w:p>
        </w:tc>
      </w:tr>
      <w:tr>
        <w:tc>
          <w:tcPr>
            <w:tcW w:type="dxa" w:w="3120"/>
            <w:tcBorders>
              <w:top w:val="single" w:color="CCCCCC" w:sz="1"/>
              <w:left w:val="single" w:color="CCCCCC" w:sz="1"/>
              <w:bottom w:val="single" w:color="CCCCCC" w:sz="1"/>
              <w:right w:val="single" w:color="CCCCCC" w:sz="1"/>
            </w:tcBorders>
            <w:shd w:fill="F4F8FB" w:val="clear"/>
            <w:tcMar>
              <w:top w:type="dxa" w:w="60"/>
              <w:left w:type="dxa" w:w="100"/>
              <w:bottom w:type="dxa" w:w="60"/>
              <w:right w:type="dxa" w:w="100"/>
            </w:tcMar>
          </w:tcPr>
          <w:p>
            <w:pPr>
              <w:jc w:val="left"/>
            </w:pPr>
            <w:r>
              <w:rPr>
                <w:rFonts w:ascii="Arial" w:cs="Arial" w:eastAsia="Arial" w:hAnsi="Arial"/>
                <w:b w:val="false"/>
                <w:bCs w:val="false"/>
                <w:color w:val="0A2540"/>
                <w:sz w:val="20"/>
                <w:szCs w:val="20"/>
              </w:rPr>
              <w:t xml:space="preserve">Free</w:t>
            </w:r>
          </w:p>
        </w:tc>
        <w:tc>
          <w:tcPr>
            <w:tcW w:type="dxa" w:w="3120"/>
            <w:tcBorders>
              <w:top w:val="single" w:color="CCCCCC" w:sz="1"/>
              <w:left w:val="single" w:color="CCCCCC" w:sz="1"/>
              <w:bottom w:val="single" w:color="CCCCCC" w:sz="1"/>
              <w:right w:val="single" w:color="CCCCCC" w:sz="1"/>
            </w:tcBorders>
            <w:shd w:fill="F4F8FB" w:val="clear"/>
            <w:tcMar>
              <w:top w:type="dxa" w:w="60"/>
              <w:left w:type="dxa" w:w="100"/>
              <w:bottom w:type="dxa" w:w="60"/>
              <w:right w:type="dxa" w:w="100"/>
            </w:tcMar>
          </w:tcPr>
          <w:p>
            <w:pPr>
              <w:jc w:val="center"/>
            </w:pPr>
            <w:r>
              <w:rPr>
                <w:rFonts w:ascii="Arial" w:cs="Arial" w:eastAsia="Arial" w:hAnsi="Arial"/>
                <w:b w:val="false"/>
                <w:bCs w:val="false"/>
                <w:color w:val="0A2540"/>
                <w:sz w:val="20"/>
                <w:szCs w:val="20"/>
              </w:rPr>
              <w:t xml:space="preserve">$0</w:t>
            </w:r>
          </w:p>
        </w:tc>
        <w:tc>
          <w:tcPr>
            <w:tcW w:type="dxa" w:w="3120"/>
            <w:tcBorders>
              <w:top w:val="single" w:color="CCCCCC" w:sz="1"/>
              <w:left w:val="single" w:color="CCCCCC" w:sz="1"/>
              <w:bottom w:val="single" w:color="CCCCCC" w:sz="1"/>
              <w:right w:val="single" w:color="CCCCCC" w:sz="1"/>
            </w:tcBorders>
            <w:shd w:fill="F4F8FB" w:val="clear"/>
            <w:tcMar>
              <w:top w:type="dxa" w:w="60"/>
              <w:left w:type="dxa" w:w="100"/>
              <w:bottom w:type="dxa" w:w="60"/>
              <w:right w:type="dxa" w:w="100"/>
            </w:tcMar>
          </w:tcPr>
          <w:p>
            <w:pPr>
              <w:jc w:val="left"/>
            </w:pPr>
            <w:r>
              <w:rPr>
                <w:rFonts w:ascii="Arial" w:cs="Arial" w:eastAsia="Arial" w:hAnsi="Arial"/>
                <w:b w:val="false"/>
                <w:bCs w:val="false"/>
                <w:color w:val="0A2540"/>
                <w:sz w:val="20"/>
                <w:szCs w:val="20"/>
              </w:rPr>
              <w:t xml:space="preserve">3 reports, satellite map, knot + rig guides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A2540"/>
                <w:sz w:val="20"/>
                <w:szCs w:val="20"/>
              </w:rPr>
              <w:t xml:space="preserve">Pro Monthly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A2540"/>
                <w:sz w:val="20"/>
                <w:szCs w:val="20"/>
              </w:rPr>
              <w:t xml:space="preserve">$9.99/mo</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A2540"/>
                <w:sz w:val="20"/>
                <w:szCs w:val="20"/>
              </w:rPr>
              <w:t xml:space="preserve">Unlimited reports, all map layers, GPX export, push alerts, structure scout</w:t>
            </w:r>
          </w:p>
        </w:tc>
      </w:tr>
      <w:tr>
        <w:tc>
          <w:tcPr>
            <w:tcW w:type="dxa" w:w="3120"/>
            <w:tcBorders>
              <w:top w:val="single" w:color="CCCCCC" w:sz="1"/>
              <w:left w:val="single" w:color="CCCCCC" w:sz="1"/>
              <w:bottom w:val="single" w:color="CCCCCC" w:sz="1"/>
              <w:right w:val="single" w:color="CCCCCC" w:sz="1"/>
            </w:tcBorders>
            <w:shd w:fill="F4F8FB" w:val="clear"/>
            <w:tcMar>
              <w:top w:type="dxa" w:w="60"/>
              <w:left w:type="dxa" w:w="100"/>
              <w:bottom w:type="dxa" w:w="60"/>
              <w:right w:type="dxa" w:w="100"/>
            </w:tcMar>
          </w:tcPr>
          <w:p>
            <w:pPr>
              <w:jc w:val="left"/>
            </w:pPr>
            <w:r>
              <w:rPr>
                <w:rFonts w:ascii="Arial" w:cs="Arial" w:eastAsia="Arial" w:hAnsi="Arial"/>
                <w:b w:val="false"/>
                <w:bCs w:val="false"/>
                <w:color w:val="0A2540"/>
                <w:sz w:val="20"/>
                <w:szCs w:val="20"/>
              </w:rPr>
              <w:t xml:space="preserve">Pro Annual</w:t>
            </w:r>
          </w:p>
        </w:tc>
        <w:tc>
          <w:tcPr>
            <w:tcW w:type="dxa" w:w="3120"/>
            <w:tcBorders>
              <w:top w:val="single" w:color="CCCCCC" w:sz="1"/>
              <w:left w:val="single" w:color="CCCCCC" w:sz="1"/>
              <w:bottom w:val="single" w:color="CCCCCC" w:sz="1"/>
              <w:right w:val="single" w:color="CCCCCC" w:sz="1"/>
            </w:tcBorders>
            <w:shd w:fill="F4F8FB" w:val="clear"/>
            <w:tcMar>
              <w:top w:type="dxa" w:w="60"/>
              <w:left w:type="dxa" w:w="100"/>
              <w:bottom w:type="dxa" w:w="60"/>
              <w:right w:type="dxa" w:w="100"/>
            </w:tcMar>
          </w:tcPr>
          <w:p>
            <w:pPr>
              <w:jc w:val="center"/>
            </w:pPr>
            <w:r>
              <w:rPr>
                <w:rFonts w:ascii="Arial" w:cs="Arial" w:eastAsia="Arial" w:hAnsi="Arial"/>
                <w:b w:val="false"/>
                <w:bCs w:val="false"/>
                <w:color w:val="0A2540"/>
                <w:sz w:val="20"/>
                <w:szCs w:val="20"/>
              </w:rPr>
              <w:t xml:space="preserve">$59.99/yr</w:t>
            </w:r>
          </w:p>
        </w:tc>
        <w:tc>
          <w:tcPr>
            <w:tcW w:type="dxa" w:w="3120"/>
            <w:tcBorders>
              <w:top w:val="single" w:color="CCCCCC" w:sz="1"/>
              <w:left w:val="single" w:color="CCCCCC" w:sz="1"/>
              <w:bottom w:val="single" w:color="CCCCCC" w:sz="1"/>
              <w:right w:val="single" w:color="CCCCCC" w:sz="1"/>
            </w:tcBorders>
            <w:shd w:fill="F4F8FB" w:val="clear"/>
            <w:tcMar>
              <w:top w:type="dxa" w:w="60"/>
              <w:left w:type="dxa" w:w="100"/>
              <w:bottom w:type="dxa" w:w="60"/>
              <w:right w:type="dxa" w:w="100"/>
            </w:tcMar>
          </w:tcPr>
          <w:p>
            <w:pPr>
              <w:jc w:val="left"/>
            </w:pPr>
            <w:r>
              <w:rPr>
                <w:rFonts w:ascii="Arial" w:cs="Arial" w:eastAsia="Arial" w:hAnsi="Arial"/>
                <w:b w:val="false"/>
                <w:bCs w:val="false"/>
                <w:color w:val="0A2540"/>
                <w:sz w:val="20"/>
                <w:szCs w:val="20"/>
              </w:rPr>
              <w:t xml:space="preserve">Same as monthly (~50% savings)</w:t>
            </w:r>
          </w:p>
        </w:tc>
      </w:tr>
    </w:tbl>
    <w:p>
      <w:pPr>
        <w:pStyle w:val="Heading2"/>
        <w:spacing w:before="360"/>
      </w:pPr>
      <w:r>
        <w:t xml:space="preserve">Stream 2: In-App Gear Shop (Affiliate Commerce)</w:t>
      </w:r>
    </w:p>
    <w:p>
      <w:pPr>
        <w:spacing w:after="200"/>
      </w:pPr>
      <w:r>
        <w:rPr>
          <w:sz w:val="22"/>
          <w:szCs w:val="22"/>
        </w:rPr>
        <w:t xml:space="preserve">The AI report engine already recommends specific rigs, hooks, weights, line, and bait for each fishing trip. Every recommendation becomes a tappable “Buy Now” link that routes to partner retailers. This is contextual commerce — the highest-converting form of product recommendation because the user already trusts the suggestion and has immediate intent to purchase.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0A2540" w:val="clear"/>
            <w:tcMar>
              <w:top w:type="dxa" w:w="60"/>
              <w:left w:type="dxa" w:w="100"/>
              <w:bottom w:type="dxa" w:w="60"/>
              <w:right w:type="dxa" w:w="100"/>
            </w:tcMar>
          </w:tcPr>
          <w:p>
            <w:pPr>
              <w:jc w:val="left"/>
            </w:pPr>
            <w:r>
              <w:rPr>
                <w:rFonts w:ascii="Arial" w:cs="Arial" w:eastAsia="Arial" w:hAnsi="Arial"/>
                <w:b/>
                <w:bCs/>
                <w:color w:val="FFFFFF"/>
                <w:sz w:val="20"/>
                <w:szCs w:val="20"/>
              </w:rPr>
              <w:t xml:space="preserve">METRIC</w:t>
            </w:r>
          </w:p>
        </w:tc>
        <w:tc>
          <w:tcPr>
            <w:tcW w:type="dxa" w:w="2340"/>
            <w:tcBorders>
              <w:top w:val="single" w:color="CCCCCC" w:sz="1"/>
              <w:left w:val="single" w:color="CCCCCC" w:sz="1"/>
              <w:bottom w:val="single" w:color="CCCCCC" w:sz="1"/>
              <w:right w:val="single" w:color="CCCCCC" w:sz="1"/>
            </w:tcBorders>
            <w:shd w:fill="0A2540"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CONSERVATIVE</w:t>
            </w:r>
          </w:p>
        </w:tc>
        <w:tc>
          <w:tcPr>
            <w:tcW w:type="dxa" w:w="2340"/>
            <w:tcBorders>
              <w:top w:val="single" w:color="CCCCCC" w:sz="1"/>
              <w:left w:val="single" w:color="CCCCCC" w:sz="1"/>
              <w:bottom w:val="single" w:color="CCCCCC" w:sz="1"/>
              <w:right w:val="single" w:color="CCCCCC" w:sz="1"/>
            </w:tcBorders>
            <w:shd w:fill="0A2540"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MODERATE</w:t>
            </w:r>
          </w:p>
        </w:tc>
        <w:tc>
          <w:tcPr>
            <w:tcW w:type="dxa" w:w="2340"/>
            <w:tcBorders>
              <w:top w:val="single" w:color="CCCCCC" w:sz="1"/>
              <w:left w:val="single" w:color="CCCCCC" w:sz="1"/>
              <w:bottom w:val="single" w:color="CCCCCC" w:sz="1"/>
              <w:right w:val="single" w:color="CCCCCC" w:sz="1"/>
            </w:tcBorders>
            <w:shd w:fill="0A2540"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AGGRESSIVE</w:t>
            </w:r>
          </w:p>
        </w:tc>
      </w:tr>
      <w:tr>
        <w:tc>
          <w:tcPr>
            <w:tcW w:type="dxa" w:w="2340"/>
            <w:tcBorders>
              <w:top w:val="single" w:color="CCCCCC" w:sz="1"/>
              <w:left w:val="single" w:color="CCCCCC" w:sz="1"/>
              <w:bottom w:val="single" w:color="CCCCCC" w:sz="1"/>
              <w:right w:val="single" w:color="CCCCCC" w:sz="1"/>
            </w:tcBorders>
            <w:shd w:fill="F4F8FB" w:val="clear"/>
            <w:tcMar>
              <w:top w:type="dxa" w:w="60"/>
              <w:left w:type="dxa" w:w="100"/>
              <w:bottom w:type="dxa" w:w="60"/>
              <w:right w:type="dxa" w:w="100"/>
            </w:tcMar>
          </w:tcPr>
          <w:p>
            <w:pPr>
              <w:jc w:val="left"/>
            </w:pPr>
            <w:r>
              <w:rPr>
                <w:rFonts w:ascii="Arial" w:cs="Arial" w:eastAsia="Arial" w:hAnsi="Arial"/>
                <w:b w:val="false"/>
                <w:bCs w:val="false"/>
                <w:color w:val="0A2540"/>
                <w:sz w:val="20"/>
                <w:szCs w:val="20"/>
              </w:rPr>
              <w:t xml:space="preserve">Active Users</w:t>
            </w:r>
          </w:p>
        </w:tc>
        <w:tc>
          <w:tcPr>
            <w:tcW w:type="dxa" w:w="2340"/>
            <w:tcBorders>
              <w:top w:val="single" w:color="CCCCCC" w:sz="1"/>
              <w:left w:val="single" w:color="CCCCCC" w:sz="1"/>
              <w:bottom w:val="single" w:color="CCCCCC" w:sz="1"/>
              <w:right w:val="single" w:color="CCCCCC" w:sz="1"/>
            </w:tcBorders>
            <w:shd w:fill="F4F8FB" w:val="clear"/>
            <w:tcMar>
              <w:top w:type="dxa" w:w="60"/>
              <w:left w:type="dxa" w:w="100"/>
              <w:bottom w:type="dxa" w:w="60"/>
              <w:right w:type="dxa" w:w="100"/>
            </w:tcMar>
          </w:tcPr>
          <w:p>
            <w:pPr>
              <w:jc w:val="center"/>
            </w:pPr>
            <w:r>
              <w:rPr>
                <w:rFonts w:ascii="Arial" w:cs="Arial" w:eastAsia="Arial" w:hAnsi="Arial"/>
                <w:b w:val="false"/>
                <w:bCs w:val="false"/>
                <w:color w:val="0A2540"/>
                <w:sz w:val="20"/>
                <w:szCs w:val="20"/>
              </w:rPr>
              <w:t xml:space="preserve">5,000</w:t>
            </w:r>
          </w:p>
        </w:tc>
        <w:tc>
          <w:tcPr>
            <w:tcW w:type="dxa" w:w="2340"/>
            <w:tcBorders>
              <w:top w:val="single" w:color="CCCCCC" w:sz="1"/>
              <w:left w:val="single" w:color="CCCCCC" w:sz="1"/>
              <w:bottom w:val="single" w:color="CCCCCC" w:sz="1"/>
              <w:right w:val="single" w:color="CCCCCC" w:sz="1"/>
            </w:tcBorders>
            <w:shd w:fill="F4F8FB" w:val="clear"/>
            <w:tcMar>
              <w:top w:type="dxa" w:w="60"/>
              <w:left w:type="dxa" w:w="100"/>
              <w:bottom w:type="dxa" w:w="60"/>
              <w:right w:type="dxa" w:w="100"/>
            </w:tcMar>
          </w:tcPr>
          <w:p>
            <w:pPr>
              <w:jc w:val="center"/>
            </w:pPr>
            <w:r>
              <w:rPr>
                <w:rFonts w:ascii="Arial" w:cs="Arial" w:eastAsia="Arial" w:hAnsi="Arial"/>
                <w:b w:val="false"/>
                <w:bCs w:val="false"/>
                <w:color w:val="0A2540"/>
                <w:sz w:val="20"/>
                <w:szCs w:val="20"/>
              </w:rPr>
              <w:t xml:space="preserve">25,000</w:t>
            </w:r>
          </w:p>
        </w:tc>
        <w:tc>
          <w:tcPr>
            <w:tcW w:type="dxa" w:w="2340"/>
            <w:tcBorders>
              <w:top w:val="single" w:color="CCCCCC" w:sz="1"/>
              <w:left w:val="single" w:color="CCCCCC" w:sz="1"/>
              <w:bottom w:val="single" w:color="CCCCCC" w:sz="1"/>
              <w:right w:val="single" w:color="CCCCCC" w:sz="1"/>
            </w:tcBorders>
            <w:shd w:fill="F4F8FB" w:val="clear"/>
            <w:tcMar>
              <w:top w:type="dxa" w:w="60"/>
              <w:left w:type="dxa" w:w="100"/>
              <w:bottom w:type="dxa" w:w="60"/>
              <w:right w:type="dxa" w:w="100"/>
            </w:tcMar>
          </w:tcPr>
          <w:p>
            <w:pPr>
              <w:jc w:val="center"/>
            </w:pPr>
            <w:r>
              <w:rPr>
                <w:rFonts w:ascii="Arial" w:cs="Arial" w:eastAsia="Arial" w:hAnsi="Arial"/>
                <w:b w:val="false"/>
                <w:bCs w:val="false"/>
                <w:color w:val="0A2540"/>
                <w:sz w:val="20"/>
                <w:szCs w:val="20"/>
              </w:rPr>
              <w:t xml:space="preserve">100,000</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A2540"/>
                <w:sz w:val="20"/>
                <w:szCs w:val="20"/>
              </w:rPr>
              <w:t xml:space="preserve">Shop Conversion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A2540"/>
                <w:sz w:val="20"/>
                <w:szCs w:val="20"/>
              </w:rPr>
              <w:t xml:space="preserve">8%</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A2540"/>
                <w:sz w:val="20"/>
                <w:szCs w:val="20"/>
              </w:rPr>
              <w:t xml:space="preserve">12%</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A2540"/>
                <w:sz w:val="20"/>
                <w:szCs w:val="20"/>
              </w:rPr>
              <w:t xml:space="preserve">15%</w:t>
            </w:r>
          </w:p>
        </w:tc>
      </w:tr>
      <w:tr>
        <w:tc>
          <w:tcPr>
            <w:tcW w:type="dxa" w:w="2340"/>
            <w:tcBorders>
              <w:top w:val="single" w:color="CCCCCC" w:sz="1"/>
              <w:left w:val="single" w:color="CCCCCC" w:sz="1"/>
              <w:bottom w:val="single" w:color="CCCCCC" w:sz="1"/>
              <w:right w:val="single" w:color="CCCCCC" w:sz="1"/>
            </w:tcBorders>
            <w:shd w:fill="F4F8FB" w:val="clear"/>
            <w:tcMar>
              <w:top w:type="dxa" w:w="60"/>
              <w:left w:type="dxa" w:w="100"/>
              <w:bottom w:type="dxa" w:w="60"/>
              <w:right w:type="dxa" w:w="100"/>
            </w:tcMar>
          </w:tcPr>
          <w:p>
            <w:pPr>
              <w:jc w:val="left"/>
            </w:pPr>
            <w:r>
              <w:rPr>
                <w:rFonts w:ascii="Arial" w:cs="Arial" w:eastAsia="Arial" w:hAnsi="Arial"/>
                <w:b w:val="false"/>
                <w:bCs w:val="false"/>
                <w:color w:val="0A2540"/>
                <w:sz w:val="20"/>
                <w:szCs w:val="20"/>
              </w:rPr>
              <w:t xml:space="preserve">Avg Cart Value</w:t>
            </w:r>
          </w:p>
        </w:tc>
        <w:tc>
          <w:tcPr>
            <w:tcW w:type="dxa" w:w="2340"/>
            <w:tcBorders>
              <w:top w:val="single" w:color="CCCCCC" w:sz="1"/>
              <w:left w:val="single" w:color="CCCCCC" w:sz="1"/>
              <w:bottom w:val="single" w:color="CCCCCC" w:sz="1"/>
              <w:right w:val="single" w:color="CCCCCC" w:sz="1"/>
            </w:tcBorders>
            <w:shd w:fill="F4F8FB" w:val="clear"/>
            <w:tcMar>
              <w:top w:type="dxa" w:w="60"/>
              <w:left w:type="dxa" w:w="100"/>
              <w:bottom w:type="dxa" w:w="60"/>
              <w:right w:type="dxa" w:w="100"/>
            </w:tcMar>
          </w:tcPr>
          <w:p>
            <w:pPr>
              <w:jc w:val="center"/>
            </w:pPr>
            <w:r>
              <w:rPr>
                <w:rFonts w:ascii="Arial" w:cs="Arial" w:eastAsia="Arial" w:hAnsi="Arial"/>
                <w:b w:val="false"/>
                <w:bCs w:val="false"/>
                <w:color w:val="0A2540"/>
                <w:sz w:val="20"/>
                <w:szCs w:val="20"/>
              </w:rPr>
              <w:t xml:space="preserve">$75</w:t>
            </w:r>
          </w:p>
        </w:tc>
        <w:tc>
          <w:tcPr>
            <w:tcW w:type="dxa" w:w="2340"/>
            <w:tcBorders>
              <w:top w:val="single" w:color="CCCCCC" w:sz="1"/>
              <w:left w:val="single" w:color="CCCCCC" w:sz="1"/>
              <w:bottom w:val="single" w:color="CCCCCC" w:sz="1"/>
              <w:right w:val="single" w:color="CCCCCC" w:sz="1"/>
            </w:tcBorders>
            <w:shd w:fill="F4F8FB" w:val="clear"/>
            <w:tcMar>
              <w:top w:type="dxa" w:w="60"/>
              <w:left w:type="dxa" w:w="100"/>
              <w:bottom w:type="dxa" w:w="60"/>
              <w:right w:type="dxa" w:w="100"/>
            </w:tcMar>
          </w:tcPr>
          <w:p>
            <w:pPr>
              <w:jc w:val="center"/>
            </w:pPr>
            <w:r>
              <w:rPr>
                <w:rFonts w:ascii="Arial" w:cs="Arial" w:eastAsia="Arial" w:hAnsi="Arial"/>
                <w:b w:val="false"/>
                <w:bCs w:val="false"/>
                <w:color w:val="0A2540"/>
                <w:sz w:val="20"/>
                <w:szCs w:val="20"/>
              </w:rPr>
              <w:t xml:space="preserve">$100</w:t>
            </w:r>
          </w:p>
        </w:tc>
        <w:tc>
          <w:tcPr>
            <w:tcW w:type="dxa" w:w="2340"/>
            <w:tcBorders>
              <w:top w:val="single" w:color="CCCCCC" w:sz="1"/>
              <w:left w:val="single" w:color="CCCCCC" w:sz="1"/>
              <w:bottom w:val="single" w:color="CCCCCC" w:sz="1"/>
              <w:right w:val="single" w:color="CCCCCC" w:sz="1"/>
            </w:tcBorders>
            <w:shd w:fill="F4F8FB" w:val="clear"/>
            <w:tcMar>
              <w:top w:type="dxa" w:w="60"/>
              <w:left w:type="dxa" w:w="100"/>
              <w:bottom w:type="dxa" w:w="60"/>
              <w:right w:type="dxa" w:w="100"/>
            </w:tcMar>
          </w:tcPr>
          <w:p>
            <w:pPr>
              <w:jc w:val="center"/>
            </w:pPr>
            <w:r>
              <w:rPr>
                <w:rFonts w:ascii="Arial" w:cs="Arial" w:eastAsia="Arial" w:hAnsi="Arial"/>
                <w:b w:val="false"/>
                <w:bCs w:val="false"/>
                <w:color w:val="0A2540"/>
                <w:sz w:val="20"/>
                <w:szCs w:val="20"/>
              </w:rPr>
              <w:t xml:space="preserve">$150</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A2540"/>
                <w:sz w:val="20"/>
                <w:szCs w:val="20"/>
              </w:rPr>
              <w:t xml:space="preserve">Affiliate Rate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A2540"/>
                <w:sz w:val="20"/>
                <w:szCs w:val="20"/>
              </w:rPr>
              <w:t xml:space="preserve">5%</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A2540"/>
                <w:sz w:val="20"/>
                <w:szCs w:val="20"/>
              </w:rPr>
              <w:t xml:space="preserve">6%</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A2540"/>
                <w:sz w:val="20"/>
                <w:szCs w:val="20"/>
              </w:rPr>
              <w:t xml:space="preserve">7%</w:t>
            </w:r>
          </w:p>
        </w:tc>
      </w:tr>
      <w:tr>
        <w:tc>
          <w:tcPr>
            <w:tcW w:type="dxa" w:w="2340"/>
            <w:tcBorders>
              <w:top w:val="single" w:color="CCCCCC" w:sz="1"/>
              <w:left w:val="single" w:color="CCCCCC" w:sz="1"/>
              <w:bottom w:val="single" w:color="CCCCCC" w:sz="1"/>
              <w:right w:val="single" w:color="CCCCCC" w:sz="1"/>
            </w:tcBorders>
            <w:shd w:fill="4ECDC4" w:val="clear"/>
            <w:tcMar>
              <w:top w:type="dxa" w:w="60"/>
              <w:left w:type="dxa" w:w="100"/>
              <w:bottom w:type="dxa" w:w="60"/>
              <w:right w:type="dxa" w:w="100"/>
            </w:tcMar>
          </w:tcPr>
          <w:p>
            <w:pPr>
              <w:jc w:val="left"/>
            </w:pPr>
            <w:r>
              <w:rPr>
                <w:rFonts w:ascii="Arial" w:cs="Arial" w:eastAsia="Arial" w:hAnsi="Arial"/>
                <w:b/>
                <w:bCs/>
                <w:color w:val="0A2540"/>
                <w:sz w:val="20"/>
                <w:szCs w:val="20"/>
              </w:rPr>
              <w:t xml:space="preserve">Annual Affiliate Revenue</w:t>
            </w:r>
          </w:p>
        </w:tc>
        <w:tc>
          <w:tcPr>
            <w:tcW w:type="dxa" w:w="2340"/>
            <w:tcBorders>
              <w:top w:val="single" w:color="CCCCCC" w:sz="1"/>
              <w:left w:val="single" w:color="CCCCCC" w:sz="1"/>
              <w:bottom w:val="single" w:color="CCCCCC" w:sz="1"/>
              <w:right w:val="single" w:color="CCCCCC" w:sz="1"/>
            </w:tcBorders>
            <w:shd w:fill="4ECDC4" w:val="clear"/>
            <w:tcMar>
              <w:top w:type="dxa" w:w="60"/>
              <w:left w:type="dxa" w:w="100"/>
              <w:bottom w:type="dxa" w:w="60"/>
              <w:right w:type="dxa" w:w="100"/>
            </w:tcMar>
          </w:tcPr>
          <w:p>
            <w:pPr>
              <w:jc w:val="center"/>
            </w:pPr>
            <w:r>
              <w:rPr>
                <w:rFonts w:ascii="Arial" w:cs="Arial" w:eastAsia="Arial" w:hAnsi="Arial"/>
                <w:b/>
                <w:bCs/>
                <w:color w:val="0A2540"/>
                <w:sz w:val="20"/>
                <w:szCs w:val="20"/>
              </w:rPr>
              <w:t xml:space="preserve">$18,000</w:t>
            </w:r>
          </w:p>
        </w:tc>
        <w:tc>
          <w:tcPr>
            <w:tcW w:type="dxa" w:w="2340"/>
            <w:tcBorders>
              <w:top w:val="single" w:color="CCCCCC" w:sz="1"/>
              <w:left w:val="single" w:color="CCCCCC" w:sz="1"/>
              <w:bottom w:val="single" w:color="CCCCCC" w:sz="1"/>
              <w:right w:val="single" w:color="CCCCCC" w:sz="1"/>
            </w:tcBorders>
            <w:shd w:fill="4ECDC4" w:val="clear"/>
            <w:tcMar>
              <w:top w:type="dxa" w:w="60"/>
              <w:left w:type="dxa" w:w="100"/>
              <w:bottom w:type="dxa" w:w="60"/>
              <w:right w:type="dxa" w:w="100"/>
            </w:tcMar>
          </w:tcPr>
          <w:p>
            <w:pPr>
              <w:jc w:val="center"/>
            </w:pPr>
            <w:r>
              <w:rPr>
                <w:rFonts w:ascii="Arial" w:cs="Arial" w:eastAsia="Arial" w:hAnsi="Arial"/>
                <w:b/>
                <w:bCs/>
                <w:color w:val="0A2540"/>
                <w:sz w:val="20"/>
                <w:szCs w:val="20"/>
              </w:rPr>
              <w:t xml:space="preserve">$216,000</w:t>
            </w:r>
          </w:p>
        </w:tc>
        <w:tc>
          <w:tcPr>
            <w:tcW w:type="dxa" w:w="2340"/>
            <w:tcBorders>
              <w:top w:val="single" w:color="CCCCCC" w:sz="1"/>
              <w:left w:val="single" w:color="CCCCCC" w:sz="1"/>
              <w:bottom w:val="single" w:color="CCCCCC" w:sz="1"/>
              <w:right w:val="single" w:color="CCCCCC" w:sz="1"/>
            </w:tcBorders>
            <w:shd w:fill="4ECDC4" w:val="clear"/>
            <w:tcMar>
              <w:top w:type="dxa" w:w="60"/>
              <w:left w:type="dxa" w:w="100"/>
              <w:bottom w:type="dxa" w:w="60"/>
              <w:right w:type="dxa" w:w="100"/>
            </w:tcMar>
          </w:tcPr>
          <w:p>
            <w:pPr>
              <w:jc w:val="center"/>
            </w:pPr>
            <w:r>
              <w:rPr>
                <w:rFonts w:ascii="Arial" w:cs="Arial" w:eastAsia="Arial" w:hAnsi="Arial"/>
                <w:b/>
                <w:bCs/>
                <w:color w:val="0A2540"/>
                <w:sz w:val="20"/>
                <w:szCs w:val="20"/>
              </w:rPr>
              <w:t xml:space="preserve">$1,890,000</w:t>
            </w:r>
          </w:p>
        </w:tc>
      </w:tr>
      <w:tr>
        <w:tc>
          <w:tcPr>
            <w:tcW w:type="dxa" w:w="2340"/>
            <w:tcBorders>
              <w:top w:val="single" w:color="CCCCCC" w:sz="1"/>
              <w:left w:val="single" w:color="CCCCCC" w:sz="1"/>
              <w:bottom w:val="single" w:color="CCCCCC" w:sz="1"/>
              <w:right w:val="single" w:color="CCCCCC" w:sz="1"/>
            </w:tcBorders>
            <w:shd w:fill="F4F8FB" w:val="clear"/>
            <w:tcMar>
              <w:top w:type="dxa" w:w="60"/>
              <w:left w:type="dxa" w:w="100"/>
              <w:bottom w:type="dxa" w:w="60"/>
              <w:right w:type="dxa" w:w="100"/>
            </w:tcMar>
          </w:tcPr>
          <w:p>
            <w:pPr>
              <w:jc w:val="left"/>
            </w:pPr>
            <w:r>
              <w:rPr>
                <w:rFonts w:ascii="Arial" w:cs="Arial" w:eastAsia="Arial" w:hAnsi="Arial"/>
                <w:b/>
                <w:bCs/>
                <w:color w:val="0A2540"/>
                <w:sz w:val="20"/>
                <w:szCs w:val="20"/>
              </w:rPr>
              <w:t xml:space="preserve">Annual Sub Revenue</w:t>
            </w:r>
          </w:p>
        </w:tc>
        <w:tc>
          <w:tcPr>
            <w:tcW w:type="dxa" w:w="2340"/>
            <w:tcBorders>
              <w:top w:val="single" w:color="CCCCCC" w:sz="1"/>
              <w:left w:val="single" w:color="CCCCCC" w:sz="1"/>
              <w:bottom w:val="single" w:color="CCCCCC" w:sz="1"/>
              <w:right w:val="single" w:color="CCCCCC" w:sz="1"/>
            </w:tcBorders>
            <w:shd w:fill="F4F8FB" w:val="clear"/>
            <w:tcMar>
              <w:top w:type="dxa" w:w="60"/>
              <w:left w:type="dxa" w:w="100"/>
              <w:bottom w:type="dxa" w:w="60"/>
              <w:right w:type="dxa" w:w="100"/>
            </w:tcMar>
          </w:tcPr>
          <w:p>
            <w:pPr>
              <w:jc w:val="center"/>
            </w:pPr>
            <w:r>
              <w:rPr>
                <w:rFonts w:ascii="Arial" w:cs="Arial" w:eastAsia="Arial" w:hAnsi="Arial"/>
                <w:b/>
                <w:bCs/>
                <w:color w:val="0A2540"/>
                <w:sz w:val="20"/>
                <w:szCs w:val="20"/>
              </w:rPr>
              <w:t xml:space="preserve">$120,000</w:t>
            </w:r>
          </w:p>
        </w:tc>
        <w:tc>
          <w:tcPr>
            <w:tcW w:type="dxa" w:w="2340"/>
            <w:tcBorders>
              <w:top w:val="single" w:color="CCCCCC" w:sz="1"/>
              <w:left w:val="single" w:color="CCCCCC" w:sz="1"/>
              <w:bottom w:val="single" w:color="CCCCCC" w:sz="1"/>
              <w:right w:val="single" w:color="CCCCCC" w:sz="1"/>
            </w:tcBorders>
            <w:shd w:fill="F4F8FB" w:val="clear"/>
            <w:tcMar>
              <w:top w:type="dxa" w:w="60"/>
              <w:left w:type="dxa" w:w="100"/>
              <w:bottom w:type="dxa" w:w="60"/>
              <w:right w:type="dxa" w:w="100"/>
            </w:tcMar>
          </w:tcPr>
          <w:p>
            <w:pPr>
              <w:jc w:val="center"/>
            </w:pPr>
            <w:r>
              <w:rPr>
                <w:rFonts w:ascii="Arial" w:cs="Arial" w:eastAsia="Arial" w:hAnsi="Arial"/>
                <w:b/>
                <w:bCs/>
                <w:color w:val="0A2540"/>
                <w:sz w:val="20"/>
                <w:szCs w:val="20"/>
              </w:rPr>
              <w:t xml:space="preserve">$750,000</w:t>
            </w:r>
          </w:p>
        </w:tc>
        <w:tc>
          <w:tcPr>
            <w:tcW w:type="dxa" w:w="2340"/>
            <w:tcBorders>
              <w:top w:val="single" w:color="CCCCCC" w:sz="1"/>
              <w:left w:val="single" w:color="CCCCCC" w:sz="1"/>
              <w:bottom w:val="single" w:color="CCCCCC" w:sz="1"/>
              <w:right w:val="single" w:color="CCCCCC" w:sz="1"/>
            </w:tcBorders>
            <w:shd w:fill="F4F8FB" w:val="clear"/>
            <w:tcMar>
              <w:top w:type="dxa" w:w="60"/>
              <w:left w:type="dxa" w:w="100"/>
              <w:bottom w:type="dxa" w:w="60"/>
              <w:right w:type="dxa" w:w="100"/>
            </w:tcMar>
          </w:tcPr>
          <w:p>
            <w:pPr>
              <w:jc w:val="center"/>
            </w:pPr>
            <w:r>
              <w:rPr>
                <w:rFonts w:ascii="Arial" w:cs="Arial" w:eastAsia="Arial" w:hAnsi="Arial"/>
                <w:b/>
                <w:bCs/>
                <w:color w:val="0A2540"/>
                <w:sz w:val="20"/>
                <w:szCs w:val="20"/>
              </w:rPr>
              <w:t xml:space="preserve">$3,600,000</w:t>
            </w:r>
          </w:p>
        </w:tc>
      </w:tr>
      <w:tr>
        <w:tc>
          <w:tcPr>
            <w:tcW w:type="dxa" w:w="2340"/>
            <w:tcBorders>
              <w:top w:val="single" w:color="CCCCCC" w:sz="1"/>
              <w:left w:val="single" w:color="CCCCCC" w:sz="1"/>
              <w:bottom w:val="single" w:color="CCCCCC" w:sz="1"/>
              <w:right w:val="single" w:color="CCCCCC" w:sz="1"/>
            </w:tcBorders>
            <w:shd w:fill="0A2540" w:val="clear"/>
            <w:tcMar>
              <w:top w:type="dxa" w:w="60"/>
              <w:left w:type="dxa" w:w="100"/>
              <w:bottom w:type="dxa" w:w="60"/>
              <w:right w:type="dxa" w:w="100"/>
            </w:tcMar>
          </w:tcPr>
          <w:p>
            <w:pPr>
              <w:jc w:val="left"/>
            </w:pPr>
            <w:r>
              <w:rPr>
                <w:rFonts w:ascii="Arial" w:cs="Arial" w:eastAsia="Arial" w:hAnsi="Arial"/>
                <w:b/>
                <w:bCs/>
                <w:color w:val="4ECDC4"/>
                <w:sz w:val="20"/>
                <w:szCs w:val="20"/>
              </w:rPr>
              <w:t xml:space="preserve">TOTAL ANNUAL</w:t>
            </w:r>
          </w:p>
        </w:tc>
        <w:tc>
          <w:tcPr>
            <w:tcW w:type="dxa" w:w="2340"/>
            <w:tcBorders>
              <w:top w:val="single" w:color="CCCCCC" w:sz="1"/>
              <w:left w:val="single" w:color="CCCCCC" w:sz="1"/>
              <w:bottom w:val="single" w:color="CCCCCC" w:sz="1"/>
              <w:right w:val="single" w:color="CCCCCC" w:sz="1"/>
            </w:tcBorders>
            <w:shd w:fill="0A2540" w:val="clear"/>
            <w:tcMar>
              <w:top w:type="dxa" w:w="60"/>
              <w:left w:type="dxa" w:w="100"/>
              <w:bottom w:type="dxa" w:w="60"/>
              <w:right w:type="dxa" w:w="100"/>
            </w:tcMar>
          </w:tcPr>
          <w:p>
            <w:pPr>
              <w:jc w:val="center"/>
            </w:pPr>
            <w:r>
              <w:rPr>
                <w:rFonts w:ascii="Arial" w:cs="Arial" w:eastAsia="Arial" w:hAnsi="Arial"/>
                <w:b/>
                <w:bCs/>
                <w:color w:val="4ECDC4"/>
                <w:sz w:val="20"/>
                <w:szCs w:val="20"/>
              </w:rPr>
              <w:t xml:space="preserve">$138,000</w:t>
            </w:r>
          </w:p>
        </w:tc>
        <w:tc>
          <w:tcPr>
            <w:tcW w:type="dxa" w:w="2340"/>
            <w:tcBorders>
              <w:top w:val="single" w:color="CCCCCC" w:sz="1"/>
              <w:left w:val="single" w:color="CCCCCC" w:sz="1"/>
              <w:bottom w:val="single" w:color="CCCCCC" w:sz="1"/>
              <w:right w:val="single" w:color="CCCCCC" w:sz="1"/>
            </w:tcBorders>
            <w:shd w:fill="0A2540" w:val="clear"/>
            <w:tcMar>
              <w:top w:type="dxa" w:w="60"/>
              <w:left w:type="dxa" w:w="100"/>
              <w:bottom w:type="dxa" w:w="60"/>
              <w:right w:type="dxa" w:w="100"/>
            </w:tcMar>
          </w:tcPr>
          <w:p>
            <w:pPr>
              <w:jc w:val="center"/>
            </w:pPr>
            <w:r>
              <w:rPr>
                <w:rFonts w:ascii="Arial" w:cs="Arial" w:eastAsia="Arial" w:hAnsi="Arial"/>
                <w:b/>
                <w:bCs/>
                <w:color w:val="4ECDC4"/>
                <w:sz w:val="20"/>
                <w:szCs w:val="20"/>
              </w:rPr>
              <w:t xml:space="preserve">$966,000</w:t>
            </w:r>
          </w:p>
        </w:tc>
        <w:tc>
          <w:tcPr>
            <w:tcW w:type="dxa" w:w="2340"/>
            <w:tcBorders>
              <w:top w:val="single" w:color="CCCCCC" w:sz="1"/>
              <w:left w:val="single" w:color="CCCCCC" w:sz="1"/>
              <w:bottom w:val="single" w:color="CCCCCC" w:sz="1"/>
              <w:right w:val="single" w:color="CCCCCC" w:sz="1"/>
            </w:tcBorders>
            <w:shd w:fill="0A2540" w:val="clear"/>
            <w:tcMar>
              <w:top w:type="dxa" w:w="60"/>
              <w:left w:type="dxa" w:w="100"/>
              <w:bottom w:type="dxa" w:w="60"/>
              <w:right w:type="dxa" w:w="100"/>
            </w:tcMar>
          </w:tcPr>
          <w:p>
            <w:pPr>
              <w:jc w:val="center"/>
            </w:pPr>
            <w:r>
              <w:rPr>
                <w:rFonts w:ascii="Arial" w:cs="Arial" w:eastAsia="Arial" w:hAnsi="Arial"/>
                <w:b/>
                <w:bCs/>
                <w:color w:val="4ECDC4"/>
                <w:sz w:val="20"/>
                <w:szCs w:val="20"/>
              </w:rPr>
              <w:t xml:space="preserve">$5,490,000</w:t>
            </w:r>
          </w:p>
        </w:tc>
      </w:tr>
    </w:tbl>
    <w:p>
      <w:pPr>
        <w:spacing w:after="100" w:before="200"/>
      </w:pPr>
      <w:r>
        <w:rPr>
          <w:i/>
          <w:iCs/>
          <w:color w:val="666666"/>
          <w:sz w:val="18"/>
          <w:szCs w:val="18"/>
        </w:rPr>
        <w:t xml:space="preserve">Assumptions: 40% of users convert to Pro. Shop orders average 1.5x per active user per quarter. Affiliate rates based on published partner program terms.</w:t>
      </w:r>
    </w:p>
    <w:p>
      <w:pPr>
        <w:pStyle w:val="Heading2"/>
      </w:pPr>
      <w:r>
        <w:t xml:space="preserve">Stream 3: Future Hardware — Rig Tracker (Patent Opportunity)</w:t>
      </w:r>
    </w:p>
    <w:p>
      <w:pPr>
        <w:spacing w:after="200"/>
      </w:pPr>
      <w:r>
        <w:rPr>
          <w:sz w:val="22"/>
          <w:szCs w:val="22"/>
        </w:rPr>
        <w:t xml:space="preserve">A small, reusable BLE (Bluetooth Low Energy) beacon that clips to the fishing leader and floats just below the surface. Transmits the rig’s GPS position back to the NGN app, where it appears as a live pin on the relief shading map. Target retail price: $12–15. Manufacturing cost at scale: $3–5. This product does not exist on the market today — provisional patent recommended immediately.</w:t>
      </w:r>
    </w:p>
    <w:p>
      <w:pPr>
        <w:spacing w:after="200"/>
      </w:pPr>
      <w:r>
        <w:rPr>
          <w:sz w:val="22"/>
          <w:szCs w:val="22"/>
        </w:rPr>
        <w:t xml:space="preserve">Software-only MVP (available now): Use the phone’s compass + gyroscope to detect cast direction, estimate distance from rod angle and line counter, and plot an estimated rig position on the map. No hardware required — ship as a Pro feature.</w:t>
      </w:r>
    </w:p>
    <w:p>
      <w:r>
        <w:br w:type="page"/>
      </w:r>
    </w:p>
    <w:p>
      <w:pPr>
        <w:pStyle w:val="Heading1"/>
      </w:pPr>
      <w:r>
        <w:t xml:space="preserve">Retail Partnership Strategy</w:t>
      </w:r>
    </w:p>
    <w:p>
      <w:pPr>
        <w:spacing w:after="200"/>
      </w:pPr>
      <w:r>
        <w:rPr>
          <w:sz w:val="22"/>
          <w:szCs w:val="22"/>
        </w:rPr>
        <w:t xml:space="preserve">The NGN Fishing in-app shop is not a marketplace — it’s an AI-powered recommendation engine that drives contextual purchases to partner retailers. Every fishing report generates specific gear recommendations (hook size, rig type, line weight, bait). Each recommendation links directly to the partner’s product page for instant purchase.</w:t>
      </w:r>
    </w:p>
    <w:p>
      <w:pPr>
        <w:pStyle w:val="Heading2"/>
      </w:pPr>
      <w:r>
        <w:t xml:space="preserve">Target Retail Partners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0A2540" w:val="clear"/>
            <w:tcMar>
              <w:top w:type="dxa" w:w="60"/>
              <w:left w:type="dxa" w:w="100"/>
              <w:bottom w:type="dxa" w:w="60"/>
              <w:right w:type="dxa" w:w="100"/>
            </w:tcMar>
          </w:tcPr>
          <w:p>
            <w:pPr>
              <w:jc w:val="left"/>
            </w:pPr>
            <w:r>
              <w:rPr>
                <w:rFonts w:ascii="Arial" w:cs="Arial" w:eastAsia="Arial" w:hAnsi="Arial"/>
                <w:b/>
                <w:bCs/>
                <w:color w:val="FFFFFF"/>
                <w:sz w:val="20"/>
                <w:szCs w:val="20"/>
              </w:rPr>
              <w:t xml:space="preserve">RETAILER</w:t>
            </w:r>
          </w:p>
        </w:tc>
        <w:tc>
          <w:tcPr>
            <w:tcW w:type="dxa" w:w="2340"/>
            <w:tcBorders>
              <w:top w:val="single" w:color="CCCCCC" w:sz="1"/>
              <w:left w:val="single" w:color="CCCCCC" w:sz="1"/>
              <w:bottom w:val="single" w:color="CCCCCC" w:sz="1"/>
              <w:right w:val="single" w:color="CCCCCC" w:sz="1"/>
            </w:tcBorders>
            <w:shd w:fill="0A2540" w:val="clear"/>
            <w:tcMar>
              <w:top w:type="dxa" w:w="60"/>
              <w:left w:type="dxa" w:w="100"/>
              <w:bottom w:type="dxa" w:w="60"/>
              <w:right w:type="dxa" w:w="100"/>
            </w:tcMar>
          </w:tcPr>
          <w:p>
            <w:pPr>
              <w:jc w:val="left"/>
            </w:pPr>
            <w:r>
              <w:rPr>
                <w:rFonts w:ascii="Arial" w:cs="Arial" w:eastAsia="Arial" w:hAnsi="Arial"/>
                <w:b/>
                <w:bCs/>
                <w:color w:val="FFFFFF"/>
                <w:sz w:val="20"/>
                <w:szCs w:val="20"/>
              </w:rPr>
              <w:t xml:space="preserve">AFFILIATE PROGRAM</w:t>
            </w:r>
          </w:p>
        </w:tc>
        <w:tc>
          <w:tcPr>
            <w:tcW w:type="dxa" w:w="2340"/>
            <w:tcBorders>
              <w:top w:val="single" w:color="CCCCCC" w:sz="1"/>
              <w:left w:val="single" w:color="CCCCCC" w:sz="1"/>
              <w:bottom w:val="single" w:color="CCCCCC" w:sz="1"/>
              <w:right w:val="single" w:color="CCCCCC" w:sz="1"/>
            </w:tcBorders>
            <w:shd w:fill="0A2540"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COMMISSION</w:t>
            </w:r>
          </w:p>
        </w:tc>
        <w:tc>
          <w:tcPr>
            <w:tcW w:type="dxa" w:w="2340"/>
            <w:tcBorders>
              <w:top w:val="single" w:color="CCCCCC" w:sz="1"/>
              <w:left w:val="single" w:color="CCCCCC" w:sz="1"/>
              <w:bottom w:val="single" w:color="CCCCCC" w:sz="1"/>
              <w:right w:val="single" w:color="CCCCCC" w:sz="1"/>
            </w:tcBorders>
            <w:shd w:fill="0A2540"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PRIORITY</w:t>
            </w:r>
          </w:p>
        </w:tc>
      </w:tr>
      <w:tr>
        <w:tc>
          <w:tcPr>
            <w:tcW w:type="dxa" w:w="2340"/>
            <w:tcBorders>
              <w:top w:val="single" w:color="CCCCCC" w:sz="1"/>
              <w:left w:val="single" w:color="CCCCCC" w:sz="1"/>
              <w:bottom w:val="single" w:color="CCCCCC" w:sz="1"/>
              <w:right w:val="single" w:color="CCCCCC" w:sz="1"/>
            </w:tcBorders>
            <w:shd w:fill="F4F8FB" w:val="clear"/>
            <w:tcMar>
              <w:top w:type="dxa" w:w="60"/>
              <w:left w:type="dxa" w:w="100"/>
              <w:bottom w:type="dxa" w:w="60"/>
              <w:right w:type="dxa" w:w="100"/>
            </w:tcMar>
          </w:tcPr>
          <w:p>
            <w:pPr>
              <w:jc w:val="left"/>
            </w:pPr>
            <w:r>
              <w:rPr>
                <w:rFonts w:ascii="Arial" w:cs="Arial" w:eastAsia="Arial" w:hAnsi="Arial"/>
                <w:b w:val="false"/>
                <w:bCs w:val="false"/>
                <w:color w:val="0A2540"/>
                <w:sz w:val="20"/>
                <w:szCs w:val="20"/>
              </w:rPr>
              <w:t xml:space="preserve">Bass Pro Shops / Cabela’s</w:t>
            </w:r>
          </w:p>
        </w:tc>
        <w:tc>
          <w:tcPr>
            <w:tcW w:type="dxa" w:w="2340"/>
            <w:tcBorders>
              <w:top w:val="single" w:color="CCCCCC" w:sz="1"/>
              <w:left w:val="single" w:color="CCCCCC" w:sz="1"/>
              <w:bottom w:val="single" w:color="CCCCCC" w:sz="1"/>
              <w:right w:val="single" w:color="CCCCCC" w:sz="1"/>
            </w:tcBorders>
            <w:shd w:fill="F4F8FB" w:val="clear"/>
            <w:tcMar>
              <w:top w:type="dxa" w:w="60"/>
              <w:left w:type="dxa" w:w="100"/>
              <w:bottom w:type="dxa" w:w="60"/>
              <w:right w:type="dxa" w:w="100"/>
            </w:tcMar>
          </w:tcPr>
          <w:p>
            <w:pPr>
              <w:jc w:val="left"/>
            </w:pPr>
            <w:r>
              <w:rPr>
                <w:rFonts w:ascii="Arial" w:cs="Arial" w:eastAsia="Arial" w:hAnsi="Arial"/>
                <w:b w:val="false"/>
                <w:bCs w:val="false"/>
                <w:color w:val="0A2540"/>
                <w:sz w:val="20"/>
                <w:szCs w:val="20"/>
              </w:rPr>
              <w:t xml:space="preserve">AvantLink / Impact</w:t>
            </w:r>
          </w:p>
        </w:tc>
        <w:tc>
          <w:tcPr>
            <w:tcW w:type="dxa" w:w="2340"/>
            <w:tcBorders>
              <w:top w:val="single" w:color="CCCCCC" w:sz="1"/>
              <w:left w:val="single" w:color="CCCCCC" w:sz="1"/>
              <w:bottom w:val="single" w:color="CCCCCC" w:sz="1"/>
              <w:right w:val="single" w:color="CCCCCC" w:sz="1"/>
            </w:tcBorders>
            <w:shd w:fill="F4F8FB" w:val="clear"/>
            <w:tcMar>
              <w:top w:type="dxa" w:w="60"/>
              <w:left w:type="dxa" w:w="100"/>
              <w:bottom w:type="dxa" w:w="60"/>
              <w:right w:type="dxa" w:w="100"/>
            </w:tcMar>
          </w:tcPr>
          <w:p>
            <w:pPr>
              <w:jc w:val="center"/>
            </w:pPr>
            <w:r>
              <w:rPr>
                <w:rFonts w:ascii="Arial" w:cs="Arial" w:eastAsia="Arial" w:hAnsi="Arial"/>
                <w:b w:val="false"/>
                <w:bCs w:val="false"/>
                <w:color w:val="0A2540"/>
                <w:sz w:val="20"/>
                <w:szCs w:val="20"/>
              </w:rPr>
              <w:t xml:space="preserve">5–7%</w:t>
            </w:r>
          </w:p>
        </w:tc>
        <w:tc>
          <w:tcPr>
            <w:tcW w:type="dxa" w:w="2340"/>
            <w:tcBorders>
              <w:top w:val="single" w:color="CCCCCC" w:sz="1"/>
              <w:left w:val="single" w:color="CCCCCC" w:sz="1"/>
              <w:bottom w:val="single" w:color="CCCCCC" w:sz="1"/>
              <w:right w:val="single" w:color="CCCCCC" w:sz="1"/>
            </w:tcBorders>
            <w:shd w:fill="F4F8FB" w:val="clear"/>
            <w:tcMar>
              <w:top w:type="dxa" w:w="60"/>
              <w:left w:type="dxa" w:w="100"/>
              <w:bottom w:type="dxa" w:w="60"/>
              <w:right w:type="dxa" w:w="100"/>
            </w:tcMar>
          </w:tcPr>
          <w:p>
            <w:pPr>
              <w:jc w:val="center"/>
            </w:pPr>
            <w:r>
              <w:rPr>
                <w:rFonts w:ascii="Arial" w:cs="Arial" w:eastAsia="Arial" w:hAnsi="Arial"/>
                <w:b/>
                <w:bCs/>
                <w:color w:val="0A2540"/>
                <w:sz w:val="20"/>
                <w:szCs w:val="20"/>
              </w:rPr>
              <w:t xml:space="preserve">⭐ TOP</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A2540"/>
                <w:sz w:val="20"/>
                <w:szCs w:val="20"/>
              </w:rPr>
              <w:t xml:space="preserve">Sportsman’s Warehouse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A2540"/>
                <w:sz w:val="20"/>
                <w:szCs w:val="20"/>
              </w:rPr>
              <w:t xml:space="preserve">CJ Affiliate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A2540"/>
                <w:sz w:val="20"/>
                <w:szCs w:val="20"/>
              </w:rPr>
              <w:t xml:space="preserve">5–6%</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0A2540"/>
                <w:sz w:val="20"/>
                <w:szCs w:val="20"/>
              </w:rPr>
              <w:t xml:space="preserve">⭐ TOP</w:t>
            </w:r>
          </w:p>
        </w:tc>
      </w:tr>
      <w:tr>
        <w:tc>
          <w:tcPr>
            <w:tcW w:type="dxa" w:w="2340"/>
            <w:tcBorders>
              <w:top w:val="single" w:color="CCCCCC" w:sz="1"/>
              <w:left w:val="single" w:color="CCCCCC" w:sz="1"/>
              <w:bottom w:val="single" w:color="CCCCCC" w:sz="1"/>
              <w:right w:val="single" w:color="CCCCCC" w:sz="1"/>
            </w:tcBorders>
            <w:shd w:fill="F4F8FB" w:val="clear"/>
            <w:tcMar>
              <w:top w:type="dxa" w:w="60"/>
              <w:left w:type="dxa" w:w="100"/>
              <w:bottom w:type="dxa" w:w="60"/>
              <w:right w:type="dxa" w:w="100"/>
            </w:tcMar>
          </w:tcPr>
          <w:p>
            <w:pPr>
              <w:jc w:val="left"/>
            </w:pPr>
            <w:r>
              <w:rPr>
                <w:rFonts w:ascii="Arial" w:cs="Arial" w:eastAsia="Arial" w:hAnsi="Arial"/>
                <w:b w:val="false"/>
                <w:bCs w:val="false"/>
                <w:color w:val="0A2540"/>
                <w:sz w:val="20"/>
                <w:szCs w:val="20"/>
              </w:rPr>
              <w:t xml:space="preserve">Academy Sports</w:t>
            </w:r>
          </w:p>
        </w:tc>
        <w:tc>
          <w:tcPr>
            <w:tcW w:type="dxa" w:w="2340"/>
            <w:tcBorders>
              <w:top w:val="single" w:color="CCCCCC" w:sz="1"/>
              <w:left w:val="single" w:color="CCCCCC" w:sz="1"/>
              <w:bottom w:val="single" w:color="CCCCCC" w:sz="1"/>
              <w:right w:val="single" w:color="CCCCCC" w:sz="1"/>
            </w:tcBorders>
            <w:shd w:fill="F4F8FB" w:val="clear"/>
            <w:tcMar>
              <w:top w:type="dxa" w:w="60"/>
              <w:left w:type="dxa" w:w="100"/>
              <w:bottom w:type="dxa" w:w="60"/>
              <w:right w:type="dxa" w:w="100"/>
            </w:tcMar>
          </w:tcPr>
          <w:p>
            <w:pPr>
              <w:jc w:val="left"/>
            </w:pPr>
            <w:r>
              <w:rPr>
                <w:rFonts w:ascii="Arial" w:cs="Arial" w:eastAsia="Arial" w:hAnsi="Arial"/>
                <w:b w:val="false"/>
                <w:bCs w:val="false"/>
                <w:color w:val="0A2540"/>
                <w:sz w:val="20"/>
                <w:szCs w:val="20"/>
              </w:rPr>
              <w:t xml:space="preserve">FlexOffers</w:t>
            </w:r>
          </w:p>
        </w:tc>
        <w:tc>
          <w:tcPr>
            <w:tcW w:type="dxa" w:w="2340"/>
            <w:tcBorders>
              <w:top w:val="single" w:color="CCCCCC" w:sz="1"/>
              <w:left w:val="single" w:color="CCCCCC" w:sz="1"/>
              <w:bottom w:val="single" w:color="CCCCCC" w:sz="1"/>
              <w:right w:val="single" w:color="CCCCCC" w:sz="1"/>
            </w:tcBorders>
            <w:shd w:fill="F4F8FB" w:val="clear"/>
            <w:tcMar>
              <w:top w:type="dxa" w:w="60"/>
              <w:left w:type="dxa" w:w="100"/>
              <w:bottom w:type="dxa" w:w="60"/>
              <w:right w:type="dxa" w:w="100"/>
            </w:tcMar>
          </w:tcPr>
          <w:p>
            <w:pPr>
              <w:jc w:val="center"/>
            </w:pPr>
            <w:r>
              <w:rPr>
                <w:rFonts w:ascii="Arial" w:cs="Arial" w:eastAsia="Arial" w:hAnsi="Arial"/>
                <w:b w:val="false"/>
                <w:bCs w:val="false"/>
                <w:color w:val="0A2540"/>
                <w:sz w:val="20"/>
                <w:szCs w:val="20"/>
              </w:rPr>
              <w:t xml:space="preserve">4–6%</w:t>
            </w:r>
          </w:p>
        </w:tc>
        <w:tc>
          <w:tcPr>
            <w:tcW w:type="dxa" w:w="2340"/>
            <w:tcBorders>
              <w:top w:val="single" w:color="CCCCCC" w:sz="1"/>
              <w:left w:val="single" w:color="CCCCCC" w:sz="1"/>
              <w:bottom w:val="single" w:color="CCCCCC" w:sz="1"/>
              <w:right w:val="single" w:color="CCCCCC" w:sz="1"/>
            </w:tcBorders>
            <w:shd w:fill="F4F8FB" w:val="clear"/>
            <w:tcMar>
              <w:top w:type="dxa" w:w="60"/>
              <w:left w:type="dxa" w:w="100"/>
              <w:bottom w:type="dxa" w:w="60"/>
              <w:right w:type="dxa" w:w="100"/>
            </w:tcMar>
          </w:tcPr>
          <w:p>
            <w:pPr>
              <w:jc w:val="center"/>
            </w:pPr>
            <w:r>
              <w:rPr>
                <w:rFonts w:ascii="Arial" w:cs="Arial" w:eastAsia="Arial" w:hAnsi="Arial"/>
                <w:b w:val="false"/>
                <w:bCs w:val="false"/>
                <w:color w:val="0A2540"/>
                <w:sz w:val="20"/>
                <w:szCs w:val="20"/>
              </w:rPr>
              <w:t xml:space="preserve">HIGH</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A2540"/>
                <w:sz w:val="20"/>
                <w:szCs w:val="20"/>
              </w:rPr>
              <w:t xml:space="preserve">Tackle Direct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A2540"/>
                <w:sz w:val="20"/>
                <w:szCs w:val="20"/>
              </w:rPr>
              <w:t xml:space="preserve">AvantLink</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A2540"/>
                <w:sz w:val="20"/>
                <w:szCs w:val="20"/>
              </w:rPr>
              <w:t xml:space="preserve">6–8%</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A2540"/>
                <w:sz w:val="20"/>
                <w:szCs w:val="20"/>
              </w:rPr>
              <w:t xml:space="preserve">HIGH</w:t>
            </w:r>
          </w:p>
        </w:tc>
      </w:tr>
      <w:tr>
        <w:tc>
          <w:tcPr>
            <w:tcW w:type="dxa" w:w="2340"/>
            <w:tcBorders>
              <w:top w:val="single" w:color="CCCCCC" w:sz="1"/>
              <w:left w:val="single" w:color="CCCCCC" w:sz="1"/>
              <w:bottom w:val="single" w:color="CCCCCC" w:sz="1"/>
              <w:right w:val="single" w:color="CCCCCC" w:sz="1"/>
            </w:tcBorders>
            <w:shd w:fill="F4F8FB" w:val="clear"/>
            <w:tcMar>
              <w:top w:type="dxa" w:w="60"/>
              <w:left w:type="dxa" w:w="100"/>
              <w:bottom w:type="dxa" w:w="60"/>
              <w:right w:type="dxa" w:w="100"/>
            </w:tcMar>
          </w:tcPr>
          <w:p>
            <w:pPr>
              <w:jc w:val="left"/>
            </w:pPr>
            <w:r>
              <w:rPr>
                <w:rFonts w:ascii="Arial" w:cs="Arial" w:eastAsia="Arial" w:hAnsi="Arial"/>
                <w:b w:val="false"/>
                <w:bCs w:val="false"/>
                <w:color w:val="0A2540"/>
                <w:sz w:val="20"/>
                <w:szCs w:val="20"/>
              </w:rPr>
              <w:t xml:space="preserve">Amazon</w:t>
            </w:r>
          </w:p>
        </w:tc>
        <w:tc>
          <w:tcPr>
            <w:tcW w:type="dxa" w:w="2340"/>
            <w:tcBorders>
              <w:top w:val="single" w:color="CCCCCC" w:sz="1"/>
              <w:left w:val="single" w:color="CCCCCC" w:sz="1"/>
              <w:bottom w:val="single" w:color="CCCCCC" w:sz="1"/>
              <w:right w:val="single" w:color="CCCCCC" w:sz="1"/>
            </w:tcBorders>
            <w:shd w:fill="F4F8FB" w:val="clear"/>
            <w:tcMar>
              <w:top w:type="dxa" w:w="60"/>
              <w:left w:type="dxa" w:w="100"/>
              <w:bottom w:type="dxa" w:w="60"/>
              <w:right w:type="dxa" w:w="100"/>
            </w:tcMar>
          </w:tcPr>
          <w:p>
            <w:pPr>
              <w:jc w:val="left"/>
            </w:pPr>
            <w:r>
              <w:rPr>
                <w:rFonts w:ascii="Arial" w:cs="Arial" w:eastAsia="Arial" w:hAnsi="Arial"/>
                <w:b w:val="false"/>
                <w:bCs w:val="false"/>
                <w:color w:val="0A2540"/>
                <w:sz w:val="20"/>
                <w:szCs w:val="20"/>
              </w:rPr>
              <w:t xml:space="preserve">Amazon Associates</w:t>
            </w:r>
          </w:p>
        </w:tc>
        <w:tc>
          <w:tcPr>
            <w:tcW w:type="dxa" w:w="2340"/>
            <w:tcBorders>
              <w:top w:val="single" w:color="CCCCCC" w:sz="1"/>
              <w:left w:val="single" w:color="CCCCCC" w:sz="1"/>
              <w:bottom w:val="single" w:color="CCCCCC" w:sz="1"/>
              <w:right w:val="single" w:color="CCCCCC" w:sz="1"/>
            </w:tcBorders>
            <w:shd w:fill="F4F8FB" w:val="clear"/>
            <w:tcMar>
              <w:top w:type="dxa" w:w="60"/>
              <w:left w:type="dxa" w:w="100"/>
              <w:bottom w:type="dxa" w:w="60"/>
              <w:right w:type="dxa" w:w="100"/>
            </w:tcMar>
          </w:tcPr>
          <w:p>
            <w:pPr>
              <w:jc w:val="center"/>
            </w:pPr>
            <w:r>
              <w:rPr>
                <w:rFonts w:ascii="Arial" w:cs="Arial" w:eastAsia="Arial" w:hAnsi="Arial"/>
                <w:b w:val="false"/>
                <w:bCs w:val="false"/>
                <w:color w:val="0A2540"/>
                <w:sz w:val="20"/>
                <w:szCs w:val="20"/>
              </w:rPr>
              <w:t xml:space="preserve">4%</w:t>
            </w:r>
          </w:p>
        </w:tc>
        <w:tc>
          <w:tcPr>
            <w:tcW w:type="dxa" w:w="2340"/>
            <w:tcBorders>
              <w:top w:val="single" w:color="CCCCCC" w:sz="1"/>
              <w:left w:val="single" w:color="CCCCCC" w:sz="1"/>
              <w:bottom w:val="single" w:color="CCCCCC" w:sz="1"/>
              <w:right w:val="single" w:color="CCCCCC" w:sz="1"/>
            </w:tcBorders>
            <w:shd w:fill="F4F8FB" w:val="clear"/>
            <w:tcMar>
              <w:top w:type="dxa" w:w="60"/>
              <w:left w:type="dxa" w:w="100"/>
              <w:bottom w:type="dxa" w:w="60"/>
              <w:right w:type="dxa" w:w="100"/>
            </w:tcMar>
          </w:tcPr>
          <w:p>
            <w:pPr>
              <w:jc w:val="center"/>
            </w:pPr>
            <w:r>
              <w:rPr>
                <w:rFonts w:ascii="Arial" w:cs="Arial" w:eastAsia="Arial" w:hAnsi="Arial"/>
                <w:b w:val="false"/>
                <w:bCs w:val="false"/>
                <w:color w:val="0A2540"/>
                <w:sz w:val="20"/>
                <w:szCs w:val="20"/>
              </w:rPr>
              <w:t xml:space="preserve">MEDIUM</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A2540"/>
                <w:sz w:val="20"/>
                <w:szCs w:val="20"/>
              </w:rPr>
              <w:t xml:space="preserve">Walmart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A2540"/>
                <w:sz w:val="20"/>
                <w:szCs w:val="20"/>
              </w:rPr>
              <w:t xml:space="preserve">Impact Radius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A2540"/>
                <w:sz w:val="20"/>
                <w:szCs w:val="20"/>
              </w:rPr>
              <w:t xml:space="preserve">1–4%</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A2540"/>
                <w:sz w:val="20"/>
                <w:szCs w:val="20"/>
              </w:rPr>
              <w:t xml:space="preserve">MEDIUM</w:t>
            </w:r>
          </w:p>
        </w:tc>
      </w:tr>
      <w:tr>
        <w:tc>
          <w:tcPr>
            <w:tcW w:type="dxa" w:w="2340"/>
            <w:tcBorders>
              <w:top w:val="single" w:color="CCCCCC" w:sz="1"/>
              <w:left w:val="single" w:color="CCCCCC" w:sz="1"/>
              <w:bottom w:val="single" w:color="CCCCCC" w:sz="1"/>
              <w:right w:val="single" w:color="CCCCCC" w:sz="1"/>
            </w:tcBorders>
            <w:shd w:fill="F4F8FB" w:val="clear"/>
            <w:tcMar>
              <w:top w:type="dxa" w:w="60"/>
              <w:left w:type="dxa" w:w="100"/>
              <w:bottom w:type="dxa" w:w="60"/>
              <w:right w:type="dxa" w:w="100"/>
            </w:tcMar>
          </w:tcPr>
          <w:p>
            <w:pPr>
              <w:jc w:val="left"/>
            </w:pPr>
            <w:r>
              <w:rPr>
                <w:rFonts w:ascii="Arial" w:cs="Arial" w:eastAsia="Arial" w:hAnsi="Arial"/>
                <w:b w:val="false"/>
                <w:bCs w:val="false"/>
                <w:color w:val="0A2540"/>
                <w:sz w:val="20"/>
                <w:szCs w:val="20"/>
              </w:rPr>
              <w:t xml:space="preserve">AFTCO / Simms / St. Croix</w:t>
            </w:r>
          </w:p>
        </w:tc>
        <w:tc>
          <w:tcPr>
            <w:tcW w:type="dxa" w:w="2340"/>
            <w:tcBorders>
              <w:top w:val="single" w:color="CCCCCC" w:sz="1"/>
              <w:left w:val="single" w:color="CCCCCC" w:sz="1"/>
              <w:bottom w:val="single" w:color="CCCCCC" w:sz="1"/>
              <w:right w:val="single" w:color="CCCCCC" w:sz="1"/>
            </w:tcBorders>
            <w:shd w:fill="F4F8FB" w:val="clear"/>
            <w:tcMar>
              <w:top w:type="dxa" w:w="60"/>
              <w:left w:type="dxa" w:w="100"/>
              <w:bottom w:type="dxa" w:w="60"/>
              <w:right w:type="dxa" w:w="100"/>
            </w:tcMar>
          </w:tcPr>
          <w:p>
            <w:pPr>
              <w:jc w:val="left"/>
            </w:pPr>
            <w:r>
              <w:rPr>
                <w:rFonts w:ascii="Arial" w:cs="Arial" w:eastAsia="Arial" w:hAnsi="Arial"/>
                <w:b w:val="false"/>
                <w:bCs w:val="false"/>
                <w:color w:val="0A2540"/>
                <w:sz w:val="20"/>
                <w:szCs w:val="20"/>
              </w:rPr>
              <w:t xml:space="preserve">Direct Brand Deals</w:t>
            </w:r>
          </w:p>
        </w:tc>
        <w:tc>
          <w:tcPr>
            <w:tcW w:type="dxa" w:w="2340"/>
            <w:tcBorders>
              <w:top w:val="single" w:color="CCCCCC" w:sz="1"/>
              <w:left w:val="single" w:color="CCCCCC" w:sz="1"/>
              <w:bottom w:val="single" w:color="CCCCCC" w:sz="1"/>
              <w:right w:val="single" w:color="CCCCCC" w:sz="1"/>
            </w:tcBorders>
            <w:shd w:fill="F4F8FB" w:val="clear"/>
            <w:tcMar>
              <w:top w:type="dxa" w:w="60"/>
              <w:left w:type="dxa" w:w="100"/>
              <w:bottom w:type="dxa" w:w="60"/>
              <w:right w:type="dxa" w:w="100"/>
            </w:tcMar>
          </w:tcPr>
          <w:p>
            <w:pPr>
              <w:jc w:val="center"/>
            </w:pPr>
            <w:r>
              <w:rPr>
                <w:rFonts w:ascii="Arial" w:cs="Arial" w:eastAsia="Arial" w:hAnsi="Arial"/>
                <w:b w:val="false"/>
                <w:bCs w:val="false"/>
                <w:color w:val="0A2540"/>
                <w:sz w:val="20"/>
                <w:szCs w:val="20"/>
              </w:rPr>
              <w:t xml:space="preserve">8–15%</w:t>
            </w:r>
          </w:p>
        </w:tc>
        <w:tc>
          <w:tcPr>
            <w:tcW w:type="dxa" w:w="2340"/>
            <w:tcBorders>
              <w:top w:val="single" w:color="CCCCCC" w:sz="1"/>
              <w:left w:val="single" w:color="CCCCCC" w:sz="1"/>
              <w:bottom w:val="single" w:color="CCCCCC" w:sz="1"/>
              <w:right w:val="single" w:color="CCCCCC" w:sz="1"/>
            </w:tcBorders>
            <w:shd w:fill="F4F8FB" w:val="clear"/>
            <w:tcMar>
              <w:top w:type="dxa" w:w="60"/>
              <w:left w:type="dxa" w:w="100"/>
              <w:bottom w:type="dxa" w:w="60"/>
              <w:right w:type="dxa" w:w="100"/>
            </w:tcMar>
          </w:tcPr>
          <w:p>
            <w:pPr>
              <w:jc w:val="center"/>
            </w:pPr>
            <w:r>
              <w:rPr>
                <w:rFonts w:ascii="Arial" w:cs="Arial" w:eastAsia="Arial" w:hAnsi="Arial"/>
                <w:b w:val="false"/>
                <w:bCs w:val="false"/>
                <w:color w:val="0A2540"/>
                <w:sz w:val="20"/>
                <w:szCs w:val="20"/>
              </w:rPr>
              <w:t xml:space="preserve">FUTURE</w:t>
            </w:r>
          </w:p>
        </w:tc>
      </w:tr>
    </w:tbl>
    <w:p>
      <w:pPr>
        <w:pStyle w:val="Heading2"/>
        <w:spacing w:before="360"/>
      </w:pPr>
      <w:r>
        <w:t xml:space="preserve">The Pitch to Retailers</w:t>
      </w:r>
    </w:p>
    <w:p>
      <w:pPr>
        <w:spacing w:after="120"/>
      </w:pPr>
      <w:r>
        <w:rPr>
          <w:b/>
          <w:bCs/>
          <w:sz w:val="22"/>
          <w:szCs w:val="22"/>
        </w:rPr>
        <w:t xml:space="preserve">Subject: AI-Powered Product Placement for [X] Thousand Active Anglers</w:t>
      </w:r>
    </w:p>
    <w:p>
      <w:pPr>
        <w:spacing w:after="200"/>
      </w:pPr>
      <w:r>
        <w:rPr>
          <w:sz w:val="22"/>
          <w:szCs w:val="22"/>
        </w:rPr>
        <w:t xml:space="preserve">NGN Fishing is an AI fishing intelligence app with [X] active subscribers across the Southeast USA. Before every fishing trip, our users receive a personalized AI-generated report that recommends specific tackle: hook type and size, rig setup, line weight, leader material, sinker weight, and bait — down to exact product specifications.</w:t>
      </w:r>
    </w:p>
    <w:p>
      <w:pPr>
        <w:spacing w:after="200"/>
      </w:pPr>
      <w:r>
        <w:rPr>
          <w:sz w:val="22"/>
          <w:szCs w:val="22"/>
        </w:rPr>
        <w:t xml:space="preserve">Your products are already being recommended. We’re reaching out because we want [Retailer Name] to be the official fulfillment partner — the one-tap destination when our users act on those recommendations. Each “Buy Now” button in the app links directly to your product page.</w:t>
      </w:r>
    </w:p>
    <w:p>
      <w:pPr>
        <w:spacing w:after="200"/>
      </w:pPr>
      <w:r>
        <w:rPr>
          <w:sz w:val="22"/>
          <w:szCs w:val="22"/>
        </w:rPr>
        <w:t xml:space="preserve">This is not banner advertising. This is contextual commerce: the user has already decided they need a 1/0 circle hook with 20 lb fluorocarbon leader. They just need one tap to buy it. Conversion rates on contextual recommendations run 3–5x higher than traditional display ads.</w:t>
      </w:r>
    </w:p>
    <w:p>
      <w:pPr>
        <w:spacing w:after="200"/>
      </w:pPr>
      <w:r>
        <w:rPr>
          <w:sz w:val="22"/>
          <w:szCs w:val="22"/>
        </w:rPr>
        <w:t xml:space="preserve">We propose a standard affiliate partnership through your existing program, with potential for a co-branded “Recommended by NGN Fishing” featured placement tier for premium product positioning.</w:t>
      </w:r>
    </w:p>
    <w:p>
      <w:r>
        <w:br w:type="page"/>
      </w:r>
    </w:p>
    <w:p>
      <w:pPr>
        <w:pStyle w:val="Heading1"/>
      </w:pPr>
      <w:r>
        <w:t xml:space="preserve">Marketing Channels</w:t>
      </w:r>
    </w:p>
    <w:p>
      <w:pPr>
        <w:pStyle w:val="Heading2"/>
      </w:pPr>
      <w:r>
        <w:t xml:space="preserve">Phase 1: Organic Launch (Months 1–3)</w:t>
      </w:r>
    </w:p>
    <w:p>
      <w:pPr>
        <w:pStyle w:val="ListParagraph"/>
        <w:numPr>
          <w:ilvl w:val="0"/>
          <w:numId w:val="2"/>
        </w:numPr>
      </w:pPr>
      <w:r>
        <w:rPr>
          <w:sz w:val="22"/>
          <w:szCs w:val="22"/>
        </w:rPr>
        <w:t xml:space="preserve">App Store Optimization: Target high-volume keywords — “fishing app,” “fishing knots,” “tide chart,” “fishing report,” “rig guide”</w:t>
      </w:r>
    </w:p>
    <w:p>
      <w:pPr>
        <w:pStyle w:val="ListParagraph"/>
        <w:numPr>
          <w:ilvl w:val="0"/>
          <w:numId w:val="2"/>
        </w:numPr>
      </w:pPr>
      <w:r>
        <w:rPr>
          <w:sz w:val="22"/>
          <w:szCs w:val="22"/>
        </w:rPr>
        <w:t xml:space="preserve">YouTube Shorts / TikTok / Instagram Reels: 30-second clips showing AI report generation + real catch. “I asked AI where to fish today…” format. Target 3 videos per week.</w:t>
      </w:r>
    </w:p>
    <w:p>
      <w:pPr>
        <w:pStyle w:val="ListParagraph"/>
        <w:numPr>
          <w:ilvl w:val="0"/>
          <w:numId w:val="2"/>
        </w:numPr>
      </w:pPr>
      <w:r>
        <w:rPr>
          <w:sz w:val="22"/>
          <w:szCs w:val="22"/>
        </w:rPr>
        <w:t xml:space="preserve">Reddit: Active presence in r/fishing, r/saltwater, r/kayakfishing, r/surffishing. Provide genuine value, link app naturally.</w:t>
      </w:r>
    </w:p>
    <w:p>
      <w:pPr>
        <w:pStyle w:val="ListParagraph"/>
        <w:numPr>
          <w:ilvl w:val="0"/>
          <w:numId w:val="2"/>
        </w:numPr>
      </w:pPr>
      <w:r>
        <w:rPr>
          <w:sz w:val="22"/>
          <w:szCs w:val="22"/>
        </w:rPr>
        <w:t xml:space="preserve">Facebook Groups: Charleston Fishing, SC Inshore Fishing, Southeast Saltwater, Kayak Fishing Southeast. Engage authentically, share report screenshots.</w:t>
      </w:r>
    </w:p>
    <w:p>
      <w:pPr>
        <w:pStyle w:val="ListParagraph"/>
        <w:numPr>
          <w:ilvl w:val="0"/>
          <w:numId w:val="2"/>
        </w:numPr>
      </w:pPr>
      <w:r>
        <w:rPr>
          <w:sz w:val="22"/>
          <w:szCs w:val="22"/>
        </w:rPr>
        <w:t xml:space="preserve">Fishing Forums: The Hull Truth, Saltwater Fishing Forum, iOutdoor. Signature links + trip reports powered by NGN.</w:t>
      </w:r>
    </w:p>
    <w:p>
      <w:pPr>
        <w:pStyle w:val="Heading2"/>
      </w:pPr>
      <w:r>
        <w:t xml:space="preserve">Phase 2: Paid Acquisition (Months 3–6)</w:t>
      </w:r>
    </w:p>
    <w:p>
      <w:pPr>
        <w:pStyle w:val="ListParagraph"/>
        <w:numPr>
          <w:ilvl w:val="0"/>
          <w:numId w:val="2"/>
        </w:numPr>
      </w:pPr>
      <w:r>
        <w:rPr>
          <w:sz w:val="22"/>
          <w:szCs w:val="22"/>
        </w:rPr>
        <w:t xml:space="preserve">Apple Search Ads: Bid on “fishing app,” “tide chart,” “fishing report” — $2–4 CPI target.</w:t>
      </w:r>
    </w:p>
    <w:p>
      <w:pPr>
        <w:pStyle w:val="ListParagraph"/>
        <w:numPr>
          <w:ilvl w:val="0"/>
          <w:numId w:val="2"/>
        </w:numPr>
      </w:pPr>
      <w:r>
        <w:rPr>
          <w:sz w:val="22"/>
          <w:szCs w:val="22"/>
        </w:rPr>
        <w:t xml:space="preserve">Instagram/Facebook Ads: Lookalike audiences from free users. Video creative showing AI report → real catch. Target CPA: $8 for Pro conversion.</w:t>
      </w:r>
    </w:p>
    <w:p>
      <w:pPr>
        <w:pStyle w:val="ListParagraph"/>
        <w:numPr>
          <w:ilvl w:val="0"/>
          <w:numId w:val="2"/>
        </w:numPr>
      </w:pPr>
      <w:r>
        <w:rPr>
          <w:sz w:val="22"/>
          <w:szCs w:val="22"/>
        </w:rPr>
        <w:t xml:space="preserve">Google Ads: “AI fishing guide,” “where to fish near me,” “best fishing app.” Landing page: ngnfishing.com.</w:t>
      </w:r>
    </w:p>
    <w:p>
      <w:pPr>
        <w:pStyle w:val="Heading2"/>
      </w:pPr>
      <w:r>
        <w:t xml:space="preserve">Phase 3: Influencer &amp; Retail (Months 6–12)</w:t>
      </w:r>
    </w:p>
    <w:p>
      <w:pPr>
        <w:pStyle w:val="ListParagraph"/>
        <w:numPr>
          <w:ilvl w:val="0"/>
          <w:numId w:val="2"/>
        </w:numPr>
      </w:pPr>
      <w:r>
        <w:rPr>
          <w:sz w:val="22"/>
          <w:szCs w:val="22"/>
        </w:rPr>
        <w:t xml:space="preserve">Fishing YouTubers: Partner with mid-tier creators (10K–500K subs) for sponsored trip videos. They use NGN to plan, film the results. Offer free Pro + affiliate commission.</w:t>
      </w:r>
    </w:p>
    <w:p>
      <w:pPr>
        <w:pStyle w:val="ListParagraph"/>
        <w:numPr>
          <w:ilvl w:val="0"/>
          <w:numId w:val="2"/>
        </w:numPr>
      </w:pPr>
      <w:r>
        <w:rPr>
          <w:sz w:val="22"/>
          <w:szCs w:val="22"/>
        </w:rPr>
        <w:t xml:space="preserve">Charter Captain Partnerships: Free Pro accounts for guides. They recommend NGN to clients who want to fish independently between charters.</w:t>
      </w:r>
    </w:p>
    <w:p>
      <w:pPr>
        <w:pStyle w:val="ListParagraph"/>
        <w:numPr>
          <w:ilvl w:val="0"/>
          <w:numId w:val="2"/>
        </w:numPr>
      </w:pPr>
      <w:r>
        <w:rPr>
          <w:sz w:val="22"/>
          <w:szCs w:val="22"/>
        </w:rPr>
        <w:t xml:space="preserve">Retail Co-Marketing: In-store QR codes at Bass Pro / Sportsman’s Warehouse. “Scan to get your free AI fishing report.” Drives downloads at point of purchase.</w:t>
      </w:r>
    </w:p>
    <w:p>
      <w:pPr>
        <w:pStyle w:val="ListParagraph"/>
        <w:numPr>
          <w:ilvl w:val="0"/>
          <w:numId w:val="2"/>
        </w:numPr>
      </w:pPr>
      <w:r>
        <w:rPr>
          <w:sz w:val="22"/>
          <w:szCs w:val="22"/>
        </w:rPr>
        <w:t xml:space="preserve">Tournament Sponsorships: Sponsor local inshore tournaments across SC, GA, FL. Booth presence + branded prizes.</w:t>
      </w:r>
    </w:p>
    <w:p>
      <w:r>
        <w:br w:type="page"/>
      </w:r>
    </w:p>
    <w:p>
      <w:pPr>
        <w:pStyle w:val="Heading1"/>
      </w:pPr>
      <w:r>
        <w:t xml:space="preserve">In-App Shop Architecture</w:t>
      </w:r>
    </w:p>
    <w:p>
      <w:pPr>
        <w:spacing w:after="200"/>
      </w:pPr>
      <w:r>
        <w:rPr>
          <w:sz w:val="22"/>
          <w:szCs w:val="22"/>
        </w:rPr>
        <w:t xml:space="preserve">The shop operates on two levels: a browsable gear catalog organized by category, and contextual “Buy Now” links embedded directly in AI-generated fishing reports. Both route to partner retailer product pages via affiliate tracking links.</w:t>
      </w:r>
    </w:p>
    <w:p>
      <w:pPr>
        <w:pStyle w:val="Heading2"/>
      </w:pPr>
      <w:r>
        <w:t xml:space="preserve">Shop Categories</w:t>
      </w:r>
    </w:p>
    <w:p>
      <w:pPr>
        <w:pStyle w:val="ListParagraph"/>
        <w:numPr>
          <w:ilvl w:val="0"/>
          <w:numId w:val="3"/>
        </w:numPr>
      </w:pPr>
      <w:r>
        <w:rPr>
          <w:sz w:val="22"/>
          <w:szCs w:val="22"/>
        </w:rPr>
        <w:t xml:space="preserve">Rods — Spinning, casting, surf, fly, trolling. Filtered by access type (shore, boat, kayak, surf).</w:t>
      </w:r>
    </w:p>
    <w:p>
      <w:pPr>
        <w:pStyle w:val="ListParagraph"/>
        <w:numPr>
          <w:ilvl w:val="0"/>
          <w:numId w:val="3"/>
        </w:numPr>
      </w:pPr>
      <w:r>
        <w:rPr>
          <w:sz w:val="22"/>
          <w:szCs w:val="22"/>
        </w:rPr>
        <w:t xml:space="preserve">Reels — Spinning, baitcasting, conventional, fly. Matched to rod weight class.</w:t>
      </w:r>
    </w:p>
    <w:p>
      <w:pPr>
        <w:pStyle w:val="ListParagraph"/>
        <w:numPr>
          <w:ilvl w:val="0"/>
          <w:numId w:val="3"/>
        </w:numPr>
      </w:pPr>
      <w:r>
        <w:rPr>
          <w:sz w:val="22"/>
          <w:szCs w:val="22"/>
        </w:rPr>
        <w:t xml:space="preserve">Line — Braided, monofilament, fluorocarbon, wire leader. AI recommends by target species.</w:t>
      </w:r>
    </w:p>
    <w:p>
      <w:pPr>
        <w:pStyle w:val="ListParagraph"/>
        <w:numPr>
          <w:ilvl w:val="0"/>
          <w:numId w:val="3"/>
        </w:numPr>
      </w:pPr>
      <w:r>
        <w:rPr>
          <w:sz w:val="22"/>
          <w:szCs w:val="22"/>
        </w:rPr>
        <w:t xml:space="preserve">Terminal Tackle — Hooks, sinkers, swivels, snaps, jig heads. Directly linked from rig guide steps.</w:t>
      </w:r>
    </w:p>
    <w:p>
      <w:pPr>
        <w:pStyle w:val="ListParagraph"/>
        <w:numPr>
          <w:ilvl w:val="0"/>
          <w:numId w:val="3"/>
        </w:numPr>
      </w:pPr>
      <w:r>
        <w:rPr>
          <w:sz w:val="22"/>
          <w:szCs w:val="22"/>
        </w:rPr>
        <w:t xml:space="preserve">Lures &amp; Soft Plastics — Paddle tails, shrimp imitations, spoons, topwater, jigs. AI-recommended by conditions.</w:t>
      </w:r>
    </w:p>
    <w:p>
      <w:pPr>
        <w:pStyle w:val="ListParagraph"/>
        <w:numPr>
          <w:ilvl w:val="0"/>
          <w:numId w:val="3"/>
        </w:numPr>
      </w:pPr>
      <w:r>
        <w:rPr>
          <w:sz w:val="22"/>
          <w:szCs w:val="22"/>
        </w:rPr>
        <w:t xml:space="preserve">Electronics — Fish finders, chartplotters, trolling motors, GPS units. Pro upsell opportunity.</w:t>
      </w:r>
    </w:p>
    <w:p>
      <w:pPr>
        <w:pStyle w:val="ListParagraph"/>
        <w:numPr>
          <w:ilvl w:val="0"/>
          <w:numId w:val="3"/>
        </w:numPr>
      </w:pPr>
      <w:r>
        <w:rPr>
          <w:sz w:val="22"/>
          <w:szCs w:val="22"/>
        </w:rPr>
        <w:t xml:space="preserve">Apparel — UV shirts, rain gear, waders, boots. Seasonal recommendations.</w:t>
      </w:r>
    </w:p>
    <w:p>
      <w:pPr>
        <w:pStyle w:val="ListParagraph"/>
        <w:numPr>
          <w:ilvl w:val="0"/>
          <w:numId w:val="3"/>
        </w:numPr>
      </w:pPr>
      <w:r>
        <w:rPr>
          <w:sz w:val="22"/>
          <w:szCs w:val="22"/>
        </w:rPr>
        <w:t xml:space="preserve">Accessories — Tackle boxes, pliers, fish grips, coolers, rod holders, drone fishing rigs, kite kits.</w:t>
      </w:r>
    </w:p>
    <w:p>
      <w:pPr>
        <w:pStyle w:val="Heading2"/>
      </w:pPr>
      <w:r>
        <w:t xml:space="preserve">Contextual Commerce Flow</w:t>
      </w:r>
    </w:p>
    <w:p>
      <w:pPr>
        <w:spacing w:after="200"/>
      </w:pPr>
      <w:r>
        <w:rPr>
          <w:sz w:val="22"/>
          <w:szCs w:val="22"/>
        </w:rPr>
        <w:t xml:space="preserve">User generates AI report → Report recommends “Carolina Rig with 1/0 circle hook, 20 lb fluorocarbon leader, 1/2 oz egg sinker” → Each component is a tappable link → Link opens partner product page with affiliate tracking → User purchases → NGN earns 5–7% commission. The rig guide and knot guide also embed product links at each step (“You’ll need a 1/0 circle hook — Shop Now”).</w:t>
      </w:r>
    </w:p>
    <w:p>
      <w:pPr>
        <w:pStyle w:val="Heading1"/>
      </w:pPr>
      <w:r>
        <w:t xml:space="preserve">Competitive Advantage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A2540" w:val="clear"/>
            <w:tcMar>
              <w:top w:type="dxa" w:w="60"/>
              <w:left w:type="dxa" w:w="100"/>
              <w:bottom w:type="dxa" w:w="60"/>
              <w:right w:type="dxa" w:w="100"/>
            </w:tcMar>
          </w:tcPr>
          <w:p>
            <w:pPr>
              <w:jc w:val="left"/>
            </w:pPr>
            <w:r>
              <w:rPr>
                <w:rFonts w:ascii="Arial" w:cs="Arial" w:eastAsia="Arial" w:hAnsi="Arial"/>
                <w:b/>
                <w:bCs/>
                <w:color w:val="FFFFFF"/>
                <w:sz w:val="20"/>
                <w:szCs w:val="20"/>
              </w:rPr>
              <w:t xml:space="preserve">FEATURE</w:t>
            </w:r>
          </w:p>
        </w:tc>
        <w:tc>
          <w:tcPr>
            <w:tcW w:type="dxa" w:w="3120"/>
            <w:tcBorders>
              <w:top w:val="single" w:color="CCCCCC" w:sz="1"/>
              <w:left w:val="single" w:color="CCCCCC" w:sz="1"/>
              <w:bottom w:val="single" w:color="CCCCCC" w:sz="1"/>
              <w:right w:val="single" w:color="CCCCCC" w:sz="1"/>
            </w:tcBorders>
            <w:shd w:fill="0A2540"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NGN FISHING</w:t>
            </w:r>
          </w:p>
        </w:tc>
        <w:tc>
          <w:tcPr>
            <w:tcW w:type="dxa" w:w="3120"/>
            <w:tcBorders>
              <w:top w:val="single" w:color="CCCCCC" w:sz="1"/>
              <w:left w:val="single" w:color="CCCCCC" w:sz="1"/>
              <w:bottom w:val="single" w:color="CCCCCC" w:sz="1"/>
              <w:right w:val="single" w:color="CCCCCC" w:sz="1"/>
            </w:tcBorders>
            <w:shd w:fill="0A2540"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COMPETITORS</w:t>
            </w:r>
          </w:p>
        </w:tc>
      </w:tr>
      <w:tr>
        <w:tc>
          <w:tcPr>
            <w:tcW w:type="dxa" w:w="3120"/>
            <w:tcBorders>
              <w:top w:val="single" w:color="CCCCCC" w:sz="1"/>
              <w:left w:val="single" w:color="CCCCCC" w:sz="1"/>
              <w:bottom w:val="single" w:color="CCCCCC" w:sz="1"/>
              <w:right w:val="single" w:color="CCCCCC" w:sz="1"/>
            </w:tcBorders>
            <w:shd w:fill="F4F8FB" w:val="clear"/>
            <w:tcMar>
              <w:top w:type="dxa" w:w="60"/>
              <w:left w:type="dxa" w:w="100"/>
              <w:bottom w:type="dxa" w:w="60"/>
              <w:right w:type="dxa" w:w="100"/>
            </w:tcMar>
          </w:tcPr>
          <w:p>
            <w:pPr>
              <w:jc w:val="left"/>
            </w:pPr>
            <w:r>
              <w:rPr>
                <w:rFonts w:ascii="Arial" w:cs="Arial" w:eastAsia="Arial" w:hAnsi="Arial"/>
                <w:b w:val="false"/>
                <w:bCs w:val="false"/>
                <w:color w:val="0A2540"/>
                <w:sz w:val="20"/>
                <w:szCs w:val="20"/>
              </w:rPr>
              <w:t xml:space="preserve">AI-Generated Reports</w:t>
            </w:r>
          </w:p>
        </w:tc>
        <w:tc>
          <w:tcPr>
            <w:tcW w:type="dxa" w:w="3120"/>
            <w:tcBorders>
              <w:top w:val="single" w:color="CCCCCC" w:sz="1"/>
              <w:left w:val="single" w:color="CCCCCC" w:sz="1"/>
              <w:bottom w:val="single" w:color="CCCCCC" w:sz="1"/>
              <w:right w:val="single" w:color="CCCCCC" w:sz="1"/>
            </w:tcBorders>
            <w:shd w:fill="F4F8FB" w:val="clear"/>
            <w:tcMar>
              <w:top w:type="dxa" w:w="60"/>
              <w:left w:type="dxa" w:w="100"/>
              <w:bottom w:type="dxa" w:w="60"/>
              <w:right w:type="dxa" w:w="100"/>
            </w:tcMar>
          </w:tcPr>
          <w:p>
            <w:pPr>
              <w:jc w:val="center"/>
            </w:pPr>
            <w:r>
              <w:rPr>
                <w:rFonts w:ascii="Arial" w:cs="Arial" w:eastAsia="Arial" w:hAnsi="Arial"/>
                <w:b w:val="false"/>
                <w:bCs w:val="false"/>
                <w:color w:val="0A2540"/>
                <w:sz w:val="20"/>
                <w:szCs w:val="20"/>
              </w:rPr>
              <w:t xml:space="preserve">✅</w:t>
            </w:r>
          </w:p>
        </w:tc>
        <w:tc>
          <w:tcPr>
            <w:tcW w:type="dxa" w:w="3120"/>
            <w:tcBorders>
              <w:top w:val="single" w:color="CCCCCC" w:sz="1"/>
              <w:left w:val="single" w:color="CCCCCC" w:sz="1"/>
              <w:bottom w:val="single" w:color="CCCCCC" w:sz="1"/>
              <w:right w:val="single" w:color="CCCCCC" w:sz="1"/>
            </w:tcBorders>
            <w:shd w:fill="F4F8FB" w:val="clear"/>
            <w:tcMar>
              <w:top w:type="dxa" w:w="60"/>
              <w:left w:type="dxa" w:w="100"/>
              <w:bottom w:type="dxa" w:w="60"/>
              <w:right w:type="dxa" w:w="100"/>
            </w:tcMar>
          </w:tcPr>
          <w:p>
            <w:pPr>
              <w:jc w:val="center"/>
            </w:pPr>
            <w:r>
              <w:rPr>
                <w:rFonts w:ascii="Arial" w:cs="Arial" w:eastAsia="Arial" w:hAnsi="Arial"/>
                <w:b w:val="false"/>
                <w:bCs w:val="false"/>
                <w:color w:val="0A2540"/>
                <w:sz w:val="20"/>
                <w:szCs w:val="20"/>
              </w:rPr>
              <w:t xml:space="preserv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A2540"/>
                <w:sz w:val="20"/>
                <w:szCs w:val="20"/>
              </w:rPr>
              <w:t xml:space="preserve">GPS Spots per Report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A2540"/>
                <w:sz w:val="20"/>
                <w:szCs w:val="20"/>
              </w:rPr>
              <w:t xml:space="preserve">3–5 per species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A2540"/>
                <w:sz w:val="20"/>
                <w:szCs w:val="20"/>
              </w:rPr>
              <w:t xml:space="preserve">None / generic</w:t>
            </w:r>
          </w:p>
        </w:tc>
      </w:tr>
      <w:tr>
        <w:tc>
          <w:tcPr>
            <w:tcW w:type="dxa" w:w="3120"/>
            <w:tcBorders>
              <w:top w:val="single" w:color="CCCCCC" w:sz="1"/>
              <w:left w:val="single" w:color="CCCCCC" w:sz="1"/>
              <w:bottom w:val="single" w:color="CCCCCC" w:sz="1"/>
              <w:right w:val="single" w:color="CCCCCC" w:sz="1"/>
            </w:tcBorders>
            <w:shd w:fill="F4F8FB" w:val="clear"/>
            <w:tcMar>
              <w:top w:type="dxa" w:w="60"/>
              <w:left w:type="dxa" w:w="100"/>
              <w:bottom w:type="dxa" w:w="60"/>
              <w:right w:type="dxa" w:w="100"/>
            </w:tcMar>
          </w:tcPr>
          <w:p>
            <w:pPr>
              <w:jc w:val="left"/>
            </w:pPr>
            <w:r>
              <w:rPr>
                <w:rFonts w:ascii="Arial" w:cs="Arial" w:eastAsia="Arial" w:hAnsi="Arial"/>
                <w:b w:val="false"/>
                <w:bCs w:val="false"/>
                <w:color w:val="0A2540"/>
                <w:sz w:val="20"/>
                <w:szCs w:val="20"/>
              </w:rPr>
              <w:t xml:space="preserve">Relief Shading + Nautical Charts</w:t>
            </w:r>
          </w:p>
        </w:tc>
        <w:tc>
          <w:tcPr>
            <w:tcW w:type="dxa" w:w="3120"/>
            <w:tcBorders>
              <w:top w:val="single" w:color="CCCCCC" w:sz="1"/>
              <w:left w:val="single" w:color="CCCCCC" w:sz="1"/>
              <w:bottom w:val="single" w:color="CCCCCC" w:sz="1"/>
              <w:right w:val="single" w:color="CCCCCC" w:sz="1"/>
            </w:tcBorders>
            <w:shd w:fill="F4F8FB" w:val="clear"/>
            <w:tcMar>
              <w:top w:type="dxa" w:w="60"/>
              <w:left w:type="dxa" w:w="100"/>
              <w:bottom w:type="dxa" w:w="60"/>
              <w:right w:type="dxa" w:w="100"/>
            </w:tcMar>
          </w:tcPr>
          <w:p>
            <w:pPr>
              <w:jc w:val="center"/>
            </w:pPr>
            <w:r>
              <w:rPr>
                <w:rFonts w:ascii="Arial" w:cs="Arial" w:eastAsia="Arial" w:hAnsi="Arial"/>
                <w:b w:val="false"/>
                <w:bCs w:val="false"/>
                <w:color w:val="0A2540"/>
                <w:sz w:val="20"/>
                <w:szCs w:val="20"/>
              </w:rPr>
              <w:t xml:space="preserve">✅</w:t>
            </w:r>
          </w:p>
        </w:tc>
        <w:tc>
          <w:tcPr>
            <w:tcW w:type="dxa" w:w="3120"/>
            <w:tcBorders>
              <w:top w:val="single" w:color="CCCCCC" w:sz="1"/>
              <w:left w:val="single" w:color="CCCCCC" w:sz="1"/>
              <w:bottom w:val="single" w:color="CCCCCC" w:sz="1"/>
              <w:right w:val="single" w:color="CCCCCC" w:sz="1"/>
            </w:tcBorders>
            <w:shd w:fill="F4F8FB" w:val="clear"/>
            <w:tcMar>
              <w:top w:type="dxa" w:w="60"/>
              <w:left w:type="dxa" w:w="100"/>
              <w:bottom w:type="dxa" w:w="60"/>
              <w:right w:type="dxa" w:w="100"/>
            </w:tcMar>
          </w:tcPr>
          <w:p>
            <w:pPr>
              <w:jc w:val="center"/>
            </w:pPr>
            <w:r>
              <w:rPr>
                <w:rFonts w:ascii="Arial" w:cs="Arial" w:eastAsia="Arial" w:hAnsi="Arial"/>
                <w:b w:val="false"/>
                <w:bCs w:val="false"/>
                <w:color w:val="0A2540"/>
                <w:sz w:val="20"/>
                <w:szCs w:val="20"/>
              </w:rPr>
              <w:t xml:space="preserve">Some (Navionics $)</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A2540"/>
                <w:sz w:val="20"/>
                <w:szCs w:val="20"/>
              </w:rPr>
              <w:t xml:space="preserve">Move-Timing Push Alerts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A2540"/>
                <w:sz w:val="20"/>
                <w:szCs w:val="20"/>
              </w:rPr>
              <w:t xml:space="preserv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A2540"/>
                <w:sz w:val="20"/>
                <w:szCs w:val="20"/>
              </w:rPr>
              <w:t xml:space="preserve">❌</w:t>
            </w:r>
          </w:p>
        </w:tc>
      </w:tr>
      <w:tr>
        <w:tc>
          <w:tcPr>
            <w:tcW w:type="dxa" w:w="3120"/>
            <w:tcBorders>
              <w:top w:val="single" w:color="CCCCCC" w:sz="1"/>
              <w:left w:val="single" w:color="CCCCCC" w:sz="1"/>
              <w:bottom w:val="single" w:color="CCCCCC" w:sz="1"/>
              <w:right w:val="single" w:color="CCCCCC" w:sz="1"/>
            </w:tcBorders>
            <w:shd w:fill="F4F8FB" w:val="clear"/>
            <w:tcMar>
              <w:top w:type="dxa" w:w="60"/>
              <w:left w:type="dxa" w:w="100"/>
              <w:bottom w:type="dxa" w:w="60"/>
              <w:right w:type="dxa" w:w="100"/>
            </w:tcMar>
          </w:tcPr>
          <w:p>
            <w:pPr>
              <w:jc w:val="left"/>
            </w:pPr>
            <w:r>
              <w:rPr>
                <w:rFonts w:ascii="Arial" w:cs="Arial" w:eastAsia="Arial" w:hAnsi="Arial"/>
                <w:b w:val="false"/>
                <w:bCs w:val="false"/>
                <w:color w:val="0A2540"/>
                <w:sz w:val="20"/>
                <w:szCs w:val="20"/>
              </w:rPr>
              <w:t xml:space="preserve">Rig + Knot Step-by-Step Guide</w:t>
            </w:r>
          </w:p>
        </w:tc>
        <w:tc>
          <w:tcPr>
            <w:tcW w:type="dxa" w:w="3120"/>
            <w:tcBorders>
              <w:top w:val="single" w:color="CCCCCC" w:sz="1"/>
              <w:left w:val="single" w:color="CCCCCC" w:sz="1"/>
              <w:bottom w:val="single" w:color="CCCCCC" w:sz="1"/>
              <w:right w:val="single" w:color="CCCCCC" w:sz="1"/>
            </w:tcBorders>
            <w:shd w:fill="F4F8FB" w:val="clear"/>
            <w:tcMar>
              <w:top w:type="dxa" w:w="60"/>
              <w:left w:type="dxa" w:w="100"/>
              <w:bottom w:type="dxa" w:w="60"/>
              <w:right w:type="dxa" w:w="100"/>
            </w:tcMar>
          </w:tcPr>
          <w:p>
            <w:pPr>
              <w:jc w:val="center"/>
            </w:pPr>
            <w:r>
              <w:rPr>
                <w:rFonts w:ascii="Arial" w:cs="Arial" w:eastAsia="Arial" w:hAnsi="Arial"/>
                <w:b w:val="false"/>
                <w:bCs w:val="false"/>
                <w:color w:val="0A2540"/>
                <w:sz w:val="20"/>
                <w:szCs w:val="20"/>
              </w:rPr>
              <w:t xml:space="preserve">✅ (14 knots, 11 rigs)</w:t>
            </w:r>
          </w:p>
        </w:tc>
        <w:tc>
          <w:tcPr>
            <w:tcW w:type="dxa" w:w="3120"/>
            <w:tcBorders>
              <w:top w:val="single" w:color="CCCCCC" w:sz="1"/>
              <w:left w:val="single" w:color="CCCCCC" w:sz="1"/>
              <w:bottom w:val="single" w:color="CCCCCC" w:sz="1"/>
              <w:right w:val="single" w:color="CCCCCC" w:sz="1"/>
            </w:tcBorders>
            <w:shd w:fill="F4F8FB" w:val="clear"/>
            <w:tcMar>
              <w:top w:type="dxa" w:w="60"/>
              <w:left w:type="dxa" w:w="100"/>
              <w:bottom w:type="dxa" w:w="60"/>
              <w:right w:type="dxa" w:w="100"/>
            </w:tcMar>
          </w:tcPr>
          <w:p>
            <w:pPr>
              <w:jc w:val="center"/>
            </w:pPr>
            <w:r>
              <w:rPr>
                <w:rFonts w:ascii="Arial" w:cs="Arial" w:eastAsia="Arial" w:hAnsi="Arial"/>
                <w:b w:val="false"/>
                <w:bCs w:val="false"/>
                <w:color w:val="0A2540"/>
                <w:sz w:val="20"/>
                <w:szCs w:val="20"/>
              </w:rPr>
              <w:t xml:space="preserve">Separate apps only</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A2540"/>
                <w:sz w:val="20"/>
                <w:szCs w:val="20"/>
              </w:rPr>
              <w:t xml:space="preserve">Shore + Surf + Kayak Support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A2540"/>
                <w:sz w:val="20"/>
                <w:szCs w:val="20"/>
              </w:rPr>
              <w:t xml:space="preserve">✅ + drone/kite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A2540"/>
                <w:sz w:val="20"/>
                <w:szCs w:val="20"/>
              </w:rPr>
              <w:t xml:space="preserve">Boat-only bias</w:t>
            </w:r>
          </w:p>
        </w:tc>
      </w:tr>
      <w:tr>
        <w:tc>
          <w:tcPr>
            <w:tcW w:type="dxa" w:w="3120"/>
            <w:tcBorders>
              <w:top w:val="single" w:color="CCCCCC" w:sz="1"/>
              <w:left w:val="single" w:color="CCCCCC" w:sz="1"/>
              <w:bottom w:val="single" w:color="CCCCCC" w:sz="1"/>
              <w:right w:val="single" w:color="CCCCCC" w:sz="1"/>
            </w:tcBorders>
            <w:shd w:fill="F4F8FB" w:val="clear"/>
            <w:tcMar>
              <w:top w:type="dxa" w:w="60"/>
              <w:left w:type="dxa" w:w="100"/>
              <w:bottom w:type="dxa" w:w="60"/>
              <w:right w:type="dxa" w:w="100"/>
            </w:tcMar>
          </w:tcPr>
          <w:p>
            <w:pPr>
              <w:jc w:val="left"/>
            </w:pPr>
            <w:r>
              <w:rPr>
                <w:rFonts w:ascii="Arial" w:cs="Arial" w:eastAsia="Arial" w:hAnsi="Arial"/>
                <w:b w:val="false"/>
                <w:bCs w:val="false"/>
                <w:color w:val="0A2540"/>
                <w:sz w:val="20"/>
                <w:szCs w:val="20"/>
              </w:rPr>
              <w:t xml:space="preserve">AI Structure Scout (Pin &amp; Scout)</w:t>
            </w:r>
          </w:p>
        </w:tc>
        <w:tc>
          <w:tcPr>
            <w:tcW w:type="dxa" w:w="3120"/>
            <w:tcBorders>
              <w:top w:val="single" w:color="CCCCCC" w:sz="1"/>
              <w:left w:val="single" w:color="CCCCCC" w:sz="1"/>
              <w:bottom w:val="single" w:color="CCCCCC" w:sz="1"/>
              <w:right w:val="single" w:color="CCCCCC" w:sz="1"/>
            </w:tcBorders>
            <w:shd w:fill="F4F8FB" w:val="clear"/>
            <w:tcMar>
              <w:top w:type="dxa" w:w="60"/>
              <w:left w:type="dxa" w:w="100"/>
              <w:bottom w:type="dxa" w:w="60"/>
              <w:right w:type="dxa" w:w="100"/>
            </w:tcMar>
          </w:tcPr>
          <w:p>
            <w:pPr>
              <w:jc w:val="center"/>
            </w:pPr>
            <w:r>
              <w:rPr>
                <w:rFonts w:ascii="Arial" w:cs="Arial" w:eastAsia="Arial" w:hAnsi="Arial"/>
                <w:b w:val="false"/>
                <w:bCs w:val="false"/>
                <w:color w:val="0A2540"/>
                <w:sz w:val="20"/>
                <w:szCs w:val="20"/>
              </w:rPr>
              <w:t xml:space="preserve">✅</w:t>
            </w:r>
          </w:p>
        </w:tc>
        <w:tc>
          <w:tcPr>
            <w:tcW w:type="dxa" w:w="3120"/>
            <w:tcBorders>
              <w:top w:val="single" w:color="CCCCCC" w:sz="1"/>
              <w:left w:val="single" w:color="CCCCCC" w:sz="1"/>
              <w:bottom w:val="single" w:color="CCCCCC" w:sz="1"/>
              <w:right w:val="single" w:color="CCCCCC" w:sz="1"/>
            </w:tcBorders>
            <w:shd w:fill="F4F8FB" w:val="clear"/>
            <w:tcMar>
              <w:top w:type="dxa" w:w="60"/>
              <w:left w:type="dxa" w:w="100"/>
              <w:bottom w:type="dxa" w:w="60"/>
              <w:right w:type="dxa" w:w="100"/>
            </w:tcMar>
          </w:tcPr>
          <w:p>
            <w:pPr>
              <w:jc w:val="center"/>
            </w:pPr>
            <w:r>
              <w:rPr>
                <w:rFonts w:ascii="Arial" w:cs="Arial" w:eastAsia="Arial" w:hAnsi="Arial"/>
                <w:b w:val="false"/>
                <w:bCs w:val="false"/>
                <w:color w:val="0A2540"/>
                <w:sz w:val="20"/>
                <w:szCs w:val="20"/>
              </w:rPr>
              <w:t xml:space="preserv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A2540"/>
                <w:sz w:val="20"/>
                <w:szCs w:val="20"/>
              </w:rPr>
              <w:t xml:space="preserve">In-App Gear Shop</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A2540"/>
                <w:sz w:val="20"/>
                <w:szCs w:val="20"/>
              </w:rPr>
              <w:t xml:space="preserve">✅ (contextual)</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A2540"/>
                <w:sz w:val="20"/>
                <w:szCs w:val="20"/>
              </w:rPr>
              <w:t xml:space="preserve">❌</w:t>
            </w:r>
          </w:p>
        </w:tc>
      </w:tr>
      <w:tr>
        <w:tc>
          <w:tcPr>
            <w:tcW w:type="dxa" w:w="3120"/>
            <w:tcBorders>
              <w:top w:val="single" w:color="CCCCCC" w:sz="1"/>
              <w:left w:val="single" w:color="CCCCCC" w:sz="1"/>
              <w:bottom w:val="single" w:color="CCCCCC" w:sz="1"/>
              <w:right w:val="single" w:color="CCCCCC" w:sz="1"/>
            </w:tcBorders>
            <w:shd w:fill="F4F8FB" w:val="clear"/>
            <w:tcMar>
              <w:top w:type="dxa" w:w="60"/>
              <w:left w:type="dxa" w:w="100"/>
              <w:bottom w:type="dxa" w:w="60"/>
              <w:right w:type="dxa" w:w="100"/>
            </w:tcMar>
          </w:tcPr>
          <w:p>
            <w:pPr>
              <w:jc w:val="left"/>
            </w:pPr>
            <w:r>
              <w:rPr>
                <w:rFonts w:ascii="Arial" w:cs="Arial" w:eastAsia="Arial" w:hAnsi="Arial"/>
                <w:b w:val="false"/>
                <w:bCs w:val="false"/>
                <w:color w:val="0A2540"/>
                <w:sz w:val="20"/>
                <w:szCs w:val="20"/>
              </w:rPr>
              <w:t xml:space="preserve">GPX Chartplotter Export</w:t>
            </w:r>
          </w:p>
        </w:tc>
        <w:tc>
          <w:tcPr>
            <w:tcW w:type="dxa" w:w="3120"/>
            <w:tcBorders>
              <w:top w:val="single" w:color="CCCCCC" w:sz="1"/>
              <w:left w:val="single" w:color="CCCCCC" w:sz="1"/>
              <w:bottom w:val="single" w:color="CCCCCC" w:sz="1"/>
              <w:right w:val="single" w:color="CCCCCC" w:sz="1"/>
            </w:tcBorders>
            <w:shd w:fill="F4F8FB" w:val="clear"/>
            <w:tcMar>
              <w:top w:type="dxa" w:w="60"/>
              <w:left w:type="dxa" w:w="100"/>
              <w:bottom w:type="dxa" w:w="60"/>
              <w:right w:type="dxa" w:w="100"/>
            </w:tcMar>
          </w:tcPr>
          <w:p>
            <w:pPr>
              <w:jc w:val="center"/>
            </w:pPr>
            <w:r>
              <w:rPr>
                <w:rFonts w:ascii="Arial" w:cs="Arial" w:eastAsia="Arial" w:hAnsi="Arial"/>
                <w:b w:val="false"/>
                <w:bCs w:val="false"/>
                <w:color w:val="0A2540"/>
                <w:sz w:val="20"/>
                <w:szCs w:val="20"/>
              </w:rPr>
              <w:t xml:space="preserve">✅</w:t>
            </w:r>
          </w:p>
        </w:tc>
        <w:tc>
          <w:tcPr>
            <w:tcW w:type="dxa" w:w="3120"/>
            <w:tcBorders>
              <w:top w:val="single" w:color="CCCCCC" w:sz="1"/>
              <w:left w:val="single" w:color="CCCCCC" w:sz="1"/>
              <w:bottom w:val="single" w:color="CCCCCC" w:sz="1"/>
              <w:right w:val="single" w:color="CCCCCC" w:sz="1"/>
            </w:tcBorders>
            <w:shd w:fill="F4F8FB" w:val="clear"/>
            <w:tcMar>
              <w:top w:type="dxa" w:w="60"/>
              <w:left w:type="dxa" w:w="100"/>
              <w:bottom w:type="dxa" w:w="60"/>
              <w:right w:type="dxa" w:w="100"/>
            </w:tcMar>
          </w:tcPr>
          <w:p>
            <w:pPr>
              <w:jc w:val="center"/>
            </w:pPr>
            <w:r>
              <w:rPr>
                <w:rFonts w:ascii="Arial" w:cs="Arial" w:eastAsia="Arial" w:hAnsi="Arial"/>
                <w:b w:val="false"/>
                <w:bCs w:val="false"/>
                <w:color w:val="0A2540"/>
                <w:sz w:val="20"/>
                <w:szCs w:val="20"/>
              </w:rPr>
              <w:t xml:space="preserv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A2540"/>
                <w:sz w:val="20"/>
                <w:szCs w:val="20"/>
              </w:rPr>
              <w:t xml:space="preserve">Price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A2540"/>
                <w:sz w:val="20"/>
                <w:szCs w:val="20"/>
              </w:rPr>
              <w:t xml:space="preserve">$9.99/mo</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A2540"/>
                <w:sz w:val="20"/>
                <w:szCs w:val="20"/>
              </w:rPr>
              <w:t xml:space="preserve">$15–30/mo (Fishbrain, Navionics)</w:t>
            </w:r>
          </w:p>
        </w:tc>
      </w:tr>
    </w:tbl>
    <w:p>
      <w:r>
        <w:br w:type="page"/>
      </w:r>
    </w:p>
    <w:p>
      <w:pPr>
        <w:pStyle w:val="Heading1"/>
      </w:pPr>
      <w:r>
        <w:t xml:space="preserve">Launch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0A2540" w:val="clear"/>
            <w:tcMar>
              <w:top w:type="dxa" w:w="60"/>
              <w:left w:type="dxa" w:w="100"/>
              <w:bottom w:type="dxa" w:w="60"/>
              <w:right w:type="dxa" w:w="100"/>
            </w:tcMar>
          </w:tcPr>
          <w:p>
            <w:pPr>
              <w:jc w:val="left"/>
            </w:pPr>
            <w:r>
              <w:rPr>
                <w:rFonts w:ascii="Arial" w:cs="Arial" w:eastAsia="Arial" w:hAnsi="Arial"/>
                <w:b/>
                <w:bCs/>
                <w:color w:val="FFFFFF"/>
                <w:sz w:val="20"/>
                <w:szCs w:val="20"/>
              </w:rPr>
              <w:t xml:space="preserve">MILESTONE</w:t>
            </w:r>
          </w:p>
        </w:tc>
        <w:tc>
          <w:tcPr>
            <w:tcW w:type="dxa" w:w="3680"/>
            <w:tcBorders>
              <w:top w:val="single" w:color="CCCCCC" w:sz="1"/>
              <w:left w:val="single" w:color="CCCCCC" w:sz="1"/>
              <w:bottom w:val="single" w:color="CCCCCC" w:sz="1"/>
              <w:right w:val="single" w:color="CCCCCC" w:sz="1"/>
            </w:tcBorders>
            <w:shd w:fill="0A2540" w:val="clear"/>
            <w:tcMar>
              <w:top w:type="dxa" w:w="60"/>
              <w:left w:type="dxa" w:w="100"/>
              <w:bottom w:type="dxa" w:w="60"/>
              <w:right w:type="dxa" w:w="100"/>
            </w:tcMar>
          </w:tcPr>
          <w:p>
            <w:pPr>
              <w:jc w:val="left"/>
            </w:pPr>
            <w:r>
              <w:rPr>
                <w:rFonts w:ascii="Arial" w:cs="Arial" w:eastAsia="Arial" w:hAnsi="Arial"/>
                <w:b/>
                <w:bCs/>
                <w:color w:val="FFFFFF"/>
                <w:sz w:val="20"/>
                <w:szCs w:val="20"/>
              </w:rPr>
              <w:t xml:space="preserve">DELIVERABLE</w:t>
            </w:r>
          </w:p>
        </w:tc>
        <w:tc>
          <w:tcPr>
            <w:tcW w:type="dxa" w:w="3680"/>
            <w:tcBorders>
              <w:top w:val="single" w:color="CCCCCC" w:sz="1"/>
              <w:left w:val="single" w:color="CCCCCC" w:sz="1"/>
              <w:bottom w:val="single" w:color="CCCCCC" w:sz="1"/>
              <w:right w:val="single" w:color="CCCCCC" w:sz="1"/>
            </w:tcBorders>
            <w:shd w:fill="0A2540" w:val="clear"/>
            <w:tcMar>
              <w:top w:type="dxa" w:w="60"/>
              <w:left w:type="dxa" w:w="100"/>
              <w:bottom w:type="dxa" w:w="60"/>
              <w:right w:type="dxa" w:w="100"/>
            </w:tcMar>
          </w:tcPr>
          <w:p>
            <w:pPr>
              <w:jc w:val="left"/>
            </w:pPr>
            <w:r>
              <w:rPr>
                <w:rFonts w:ascii="Arial" w:cs="Arial" w:eastAsia="Arial" w:hAnsi="Arial"/>
                <w:b/>
                <w:bCs/>
                <w:color w:val="FFFFFF"/>
                <w:sz w:val="20"/>
                <w:szCs w:val="20"/>
              </w:rPr>
              <w:t xml:space="preserve">STATUS</w:t>
            </w:r>
          </w:p>
        </w:tc>
      </w:tr>
      <w:tr>
        <w:tc>
          <w:tcPr>
            <w:tcW w:type="dxa" w:w="2000"/>
            <w:tcBorders>
              <w:top w:val="single" w:color="CCCCCC" w:sz="1"/>
              <w:left w:val="single" w:color="CCCCCC" w:sz="1"/>
              <w:bottom w:val="single" w:color="CCCCCC" w:sz="1"/>
              <w:right w:val="single" w:color="CCCCCC" w:sz="1"/>
            </w:tcBorders>
            <w:shd w:fill="F4F8FB" w:val="clear"/>
            <w:tcMar>
              <w:top w:type="dxa" w:w="60"/>
              <w:left w:type="dxa" w:w="100"/>
              <w:bottom w:type="dxa" w:w="60"/>
              <w:right w:type="dxa" w:w="100"/>
            </w:tcMar>
          </w:tcPr>
          <w:p>
            <w:pPr>
              <w:jc w:val="left"/>
            </w:pPr>
            <w:r>
              <w:rPr>
                <w:rFonts w:ascii="Arial" w:cs="Arial" w:eastAsia="Arial" w:hAnsi="Arial"/>
                <w:b w:val="false"/>
                <w:bCs w:val="false"/>
                <w:color w:val="0A2540"/>
                <w:sz w:val="20"/>
                <w:szCs w:val="20"/>
              </w:rPr>
              <w:t xml:space="preserve">Week 1</w:t>
            </w:r>
          </w:p>
        </w:tc>
        <w:tc>
          <w:tcPr>
            <w:tcW w:type="dxa" w:w="3680"/>
            <w:tcBorders>
              <w:top w:val="single" w:color="CCCCCC" w:sz="1"/>
              <w:left w:val="single" w:color="CCCCCC" w:sz="1"/>
              <w:bottom w:val="single" w:color="CCCCCC" w:sz="1"/>
              <w:right w:val="single" w:color="CCCCCC" w:sz="1"/>
            </w:tcBorders>
            <w:shd w:fill="F4F8FB" w:val="clear"/>
            <w:tcMar>
              <w:top w:type="dxa" w:w="60"/>
              <w:left w:type="dxa" w:w="100"/>
              <w:bottom w:type="dxa" w:w="60"/>
              <w:right w:type="dxa" w:w="100"/>
            </w:tcMar>
          </w:tcPr>
          <w:p>
            <w:pPr>
              <w:jc w:val="left"/>
            </w:pPr>
            <w:r>
              <w:rPr>
                <w:rFonts w:ascii="Arial" w:cs="Arial" w:eastAsia="Arial" w:hAnsi="Arial"/>
                <w:b w:val="false"/>
                <w:bCs w:val="false"/>
                <w:color w:val="0A2540"/>
                <w:sz w:val="20"/>
                <w:szCs w:val="20"/>
              </w:rPr>
              <w:t xml:space="preserve">App Store submission (iOS + Android)</w:t>
            </w:r>
          </w:p>
        </w:tc>
        <w:tc>
          <w:tcPr>
            <w:tcW w:type="dxa" w:w="3680"/>
            <w:tcBorders>
              <w:top w:val="single" w:color="CCCCCC" w:sz="1"/>
              <w:left w:val="single" w:color="CCCCCC" w:sz="1"/>
              <w:bottom w:val="single" w:color="CCCCCC" w:sz="1"/>
              <w:right w:val="single" w:color="CCCCCC" w:sz="1"/>
            </w:tcBorders>
            <w:shd w:fill="F4F8FB" w:val="clear"/>
            <w:tcMar>
              <w:top w:type="dxa" w:w="60"/>
              <w:left w:type="dxa" w:w="100"/>
              <w:bottom w:type="dxa" w:w="60"/>
              <w:right w:type="dxa" w:w="100"/>
            </w:tcMar>
          </w:tcPr>
          <w:p>
            <w:pPr>
              <w:jc w:val="left"/>
            </w:pPr>
            <w:r>
              <w:rPr>
                <w:rFonts w:ascii="Arial" w:cs="Arial" w:eastAsia="Arial" w:hAnsi="Arial"/>
                <w:b w:val="false"/>
                <w:bCs w:val="false"/>
                <w:color w:val="0A2540"/>
                <w:sz w:val="20"/>
                <w:szCs w:val="20"/>
              </w:rPr>
              <w:t xml:space="preserve">EAS config ready, needs icon + screenshots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A2540"/>
                <w:sz w:val="20"/>
                <w:szCs w:val="20"/>
              </w:rPr>
              <w:t xml:space="preserve">Week 2</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A2540"/>
                <w:sz w:val="20"/>
                <w:szCs w:val="20"/>
              </w:rPr>
              <w:t xml:space="preserve">Privacy policy, terms, App Store listing live</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A2540"/>
                <w:sz w:val="20"/>
                <w:szCs w:val="20"/>
              </w:rPr>
              <w:t xml:space="preserve">Pending</w:t>
            </w:r>
          </w:p>
        </w:tc>
      </w:tr>
      <w:tr>
        <w:tc>
          <w:tcPr>
            <w:tcW w:type="dxa" w:w="2000"/>
            <w:tcBorders>
              <w:top w:val="single" w:color="CCCCCC" w:sz="1"/>
              <w:left w:val="single" w:color="CCCCCC" w:sz="1"/>
              <w:bottom w:val="single" w:color="CCCCCC" w:sz="1"/>
              <w:right w:val="single" w:color="CCCCCC" w:sz="1"/>
            </w:tcBorders>
            <w:shd w:fill="F4F8FB" w:val="clear"/>
            <w:tcMar>
              <w:top w:type="dxa" w:w="60"/>
              <w:left w:type="dxa" w:w="100"/>
              <w:bottom w:type="dxa" w:w="60"/>
              <w:right w:type="dxa" w:w="100"/>
            </w:tcMar>
          </w:tcPr>
          <w:p>
            <w:pPr>
              <w:jc w:val="left"/>
            </w:pPr>
            <w:r>
              <w:rPr>
                <w:rFonts w:ascii="Arial" w:cs="Arial" w:eastAsia="Arial" w:hAnsi="Arial"/>
                <w:b w:val="false"/>
                <w:bCs w:val="false"/>
                <w:color w:val="0A2540"/>
                <w:sz w:val="20"/>
                <w:szCs w:val="20"/>
              </w:rPr>
              <w:t xml:space="preserve">Week 3</w:t>
            </w:r>
          </w:p>
        </w:tc>
        <w:tc>
          <w:tcPr>
            <w:tcW w:type="dxa" w:w="3680"/>
            <w:tcBorders>
              <w:top w:val="single" w:color="CCCCCC" w:sz="1"/>
              <w:left w:val="single" w:color="CCCCCC" w:sz="1"/>
              <w:bottom w:val="single" w:color="CCCCCC" w:sz="1"/>
              <w:right w:val="single" w:color="CCCCCC" w:sz="1"/>
            </w:tcBorders>
            <w:shd w:fill="F4F8FB" w:val="clear"/>
            <w:tcMar>
              <w:top w:type="dxa" w:w="60"/>
              <w:left w:type="dxa" w:w="100"/>
              <w:bottom w:type="dxa" w:w="60"/>
              <w:right w:type="dxa" w:w="100"/>
            </w:tcMar>
          </w:tcPr>
          <w:p>
            <w:pPr>
              <w:jc w:val="left"/>
            </w:pPr>
            <w:r>
              <w:rPr>
                <w:rFonts w:ascii="Arial" w:cs="Arial" w:eastAsia="Arial" w:hAnsi="Arial"/>
                <w:b w:val="false"/>
                <w:bCs w:val="false"/>
                <w:color w:val="0A2540"/>
                <w:sz w:val="20"/>
                <w:szCs w:val="20"/>
              </w:rPr>
              <w:t xml:space="preserve">Affiliate program applications (Bass Pro, Sportsman’s, Amazon)</w:t>
            </w:r>
          </w:p>
        </w:tc>
        <w:tc>
          <w:tcPr>
            <w:tcW w:type="dxa" w:w="3680"/>
            <w:tcBorders>
              <w:top w:val="single" w:color="CCCCCC" w:sz="1"/>
              <w:left w:val="single" w:color="CCCCCC" w:sz="1"/>
              <w:bottom w:val="single" w:color="CCCCCC" w:sz="1"/>
              <w:right w:val="single" w:color="CCCCCC" w:sz="1"/>
            </w:tcBorders>
            <w:shd w:fill="F4F8FB" w:val="clear"/>
            <w:tcMar>
              <w:top w:type="dxa" w:w="60"/>
              <w:left w:type="dxa" w:w="100"/>
              <w:bottom w:type="dxa" w:w="60"/>
              <w:right w:type="dxa" w:w="100"/>
            </w:tcMar>
          </w:tcPr>
          <w:p>
            <w:pPr>
              <w:jc w:val="left"/>
            </w:pPr>
            <w:r>
              <w:rPr>
                <w:rFonts w:ascii="Arial" w:cs="Arial" w:eastAsia="Arial" w:hAnsi="Arial"/>
                <w:b w:val="false"/>
                <w:bCs w:val="false"/>
                <w:color w:val="0A2540"/>
                <w:sz w:val="20"/>
                <w:szCs w:val="20"/>
              </w:rPr>
              <w:t xml:space="preserve">Ready to apply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A2540"/>
                <w:sz w:val="20"/>
                <w:szCs w:val="20"/>
              </w:rPr>
              <w:t xml:space="preserve">Month 1</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A2540"/>
                <w:sz w:val="20"/>
                <w:szCs w:val="20"/>
              </w:rPr>
              <w:t xml:space="preserve">In-app shop live with affiliate links</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A2540"/>
                <w:sz w:val="20"/>
                <w:szCs w:val="20"/>
              </w:rPr>
              <w:t xml:space="preserve">Architecture built</w:t>
            </w:r>
          </w:p>
        </w:tc>
      </w:tr>
      <w:tr>
        <w:tc>
          <w:tcPr>
            <w:tcW w:type="dxa" w:w="2000"/>
            <w:tcBorders>
              <w:top w:val="single" w:color="CCCCCC" w:sz="1"/>
              <w:left w:val="single" w:color="CCCCCC" w:sz="1"/>
              <w:bottom w:val="single" w:color="CCCCCC" w:sz="1"/>
              <w:right w:val="single" w:color="CCCCCC" w:sz="1"/>
            </w:tcBorders>
            <w:shd w:fill="F4F8FB" w:val="clear"/>
            <w:tcMar>
              <w:top w:type="dxa" w:w="60"/>
              <w:left w:type="dxa" w:w="100"/>
              <w:bottom w:type="dxa" w:w="60"/>
              <w:right w:type="dxa" w:w="100"/>
            </w:tcMar>
          </w:tcPr>
          <w:p>
            <w:pPr>
              <w:jc w:val="left"/>
            </w:pPr>
            <w:r>
              <w:rPr>
                <w:rFonts w:ascii="Arial" w:cs="Arial" w:eastAsia="Arial" w:hAnsi="Arial"/>
                <w:b w:val="false"/>
                <w:bCs w:val="false"/>
                <w:color w:val="0A2540"/>
                <w:sz w:val="20"/>
                <w:szCs w:val="20"/>
              </w:rPr>
              <w:t xml:space="preserve">Month 2</w:t>
            </w:r>
          </w:p>
        </w:tc>
        <w:tc>
          <w:tcPr>
            <w:tcW w:type="dxa" w:w="3680"/>
            <w:tcBorders>
              <w:top w:val="single" w:color="CCCCCC" w:sz="1"/>
              <w:left w:val="single" w:color="CCCCCC" w:sz="1"/>
              <w:bottom w:val="single" w:color="CCCCCC" w:sz="1"/>
              <w:right w:val="single" w:color="CCCCCC" w:sz="1"/>
            </w:tcBorders>
            <w:shd w:fill="F4F8FB" w:val="clear"/>
            <w:tcMar>
              <w:top w:type="dxa" w:w="60"/>
              <w:left w:type="dxa" w:w="100"/>
              <w:bottom w:type="dxa" w:w="60"/>
              <w:right w:type="dxa" w:w="100"/>
            </w:tcMar>
          </w:tcPr>
          <w:p>
            <w:pPr>
              <w:jc w:val="left"/>
            </w:pPr>
            <w:r>
              <w:rPr>
                <w:rFonts w:ascii="Arial" w:cs="Arial" w:eastAsia="Arial" w:hAnsi="Arial"/>
                <w:b w:val="false"/>
                <w:bCs w:val="false"/>
                <w:color w:val="0A2540"/>
                <w:sz w:val="20"/>
                <w:szCs w:val="20"/>
              </w:rPr>
              <w:t xml:space="preserve">Organic social launch (YouTube, TikTok, Reddit, FB groups)</w:t>
            </w:r>
          </w:p>
        </w:tc>
        <w:tc>
          <w:tcPr>
            <w:tcW w:type="dxa" w:w="3680"/>
            <w:tcBorders>
              <w:top w:val="single" w:color="CCCCCC" w:sz="1"/>
              <w:left w:val="single" w:color="CCCCCC" w:sz="1"/>
              <w:bottom w:val="single" w:color="CCCCCC" w:sz="1"/>
              <w:right w:val="single" w:color="CCCCCC" w:sz="1"/>
            </w:tcBorders>
            <w:shd w:fill="F4F8FB" w:val="clear"/>
            <w:tcMar>
              <w:top w:type="dxa" w:w="60"/>
              <w:left w:type="dxa" w:w="100"/>
              <w:bottom w:type="dxa" w:w="60"/>
              <w:right w:type="dxa" w:w="100"/>
            </w:tcMar>
          </w:tcPr>
          <w:p>
            <w:pPr>
              <w:jc w:val="left"/>
            </w:pPr>
            <w:r>
              <w:rPr>
                <w:rFonts w:ascii="Arial" w:cs="Arial" w:eastAsia="Arial" w:hAnsi="Arial"/>
                <w:b w:val="false"/>
                <w:bCs w:val="false"/>
                <w:color w:val="0A2540"/>
                <w:sz w:val="20"/>
                <w:szCs w:val="20"/>
              </w:rPr>
              <w:t xml:space="preserve">Content plan ready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A2540"/>
                <w:sz w:val="20"/>
                <w:szCs w:val="20"/>
              </w:rPr>
              <w:t xml:space="preserve">Month 3</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A2540"/>
                <w:sz w:val="20"/>
                <w:szCs w:val="20"/>
              </w:rPr>
              <w:t xml:space="preserve">Apple Search Ads + Instagram ads begin</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A2540"/>
                <w:sz w:val="20"/>
                <w:szCs w:val="20"/>
              </w:rPr>
              <w:t xml:space="preserve">Pending revenue</w:t>
            </w:r>
          </w:p>
        </w:tc>
      </w:tr>
      <w:tr>
        <w:tc>
          <w:tcPr>
            <w:tcW w:type="dxa" w:w="2000"/>
            <w:tcBorders>
              <w:top w:val="single" w:color="CCCCCC" w:sz="1"/>
              <w:left w:val="single" w:color="CCCCCC" w:sz="1"/>
              <w:bottom w:val="single" w:color="CCCCCC" w:sz="1"/>
              <w:right w:val="single" w:color="CCCCCC" w:sz="1"/>
            </w:tcBorders>
            <w:shd w:fill="F4F8FB" w:val="clear"/>
            <w:tcMar>
              <w:top w:type="dxa" w:w="60"/>
              <w:left w:type="dxa" w:w="100"/>
              <w:bottom w:type="dxa" w:w="60"/>
              <w:right w:type="dxa" w:w="100"/>
            </w:tcMar>
          </w:tcPr>
          <w:p>
            <w:pPr>
              <w:jc w:val="left"/>
            </w:pPr>
            <w:r>
              <w:rPr>
                <w:rFonts w:ascii="Arial" w:cs="Arial" w:eastAsia="Arial" w:hAnsi="Arial"/>
                <w:b w:val="false"/>
                <w:bCs w:val="false"/>
                <w:color w:val="0A2540"/>
                <w:sz w:val="20"/>
                <w:szCs w:val="20"/>
              </w:rPr>
              <w:t xml:space="preserve">Month 6</w:t>
            </w:r>
          </w:p>
        </w:tc>
        <w:tc>
          <w:tcPr>
            <w:tcW w:type="dxa" w:w="3680"/>
            <w:tcBorders>
              <w:top w:val="single" w:color="CCCCCC" w:sz="1"/>
              <w:left w:val="single" w:color="CCCCCC" w:sz="1"/>
              <w:bottom w:val="single" w:color="CCCCCC" w:sz="1"/>
              <w:right w:val="single" w:color="CCCCCC" w:sz="1"/>
            </w:tcBorders>
            <w:shd w:fill="F4F8FB" w:val="clear"/>
            <w:tcMar>
              <w:top w:type="dxa" w:w="60"/>
              <w:left w:type="dxa" w:w="100"/>
              <w:bottom w:type="dxa" w:w="60"/>
              <w:right w:type="dxa" w:w="100"/>
            </w:tcMar>
          </w:tcPr>
          <w:p>
            <w:pPr>
              <w:jc w:val="left"/>
            </w:pPr>
            <w:r>
              <w:rPr>
                <w:rFonts w:ascii="Arial" w:cs="Arial" w:eastAsia="Arial" w:hAnsi="Arial"/>
                <w:b w:val="false"/>
                <w:bCs w:val="false"/>
                <w:color w:val="0A2540"/>
                <w:sz w:val="20"/>
                <w:szCs w:val="20"/>
              </w:rPr>
              <w:t xml:space="preserve">Influencer partnerships + retail co-marketing</w:t>
            </w:r>
          </w:p>
        </w:tc>
        <w:tc>
          <w:tcPr>
            <w:tcW w:type="dxa" w:w="3680"/>
            <w:tcBorders>
              <w:top w:val="single" w:color="CCCCCC" w:sz="1"/>
              <w:left w:val="single" w:color="CCCCCC" w:sz="1"/>
              <w:bottom w:val="single" w:color="CCCCCC" w:sz="1"/>
              <w:right w:val="single" w:color="CCCCCC" w:sz="1"/>
            </w:tcBorders>
            <w:shd w:fill="F4F8FB" w:val="clear"/>
            <w:tcMar>
              <w:top w:type="dxa" w:w="60"/>
              <w:left w:type="dxa" w:w="100"/>
              <w:bottom w:type="dxa" w:w="60"/>
              <w:right w:type="dxa" w:w="100"/>
            </w:tcMar>
          </w:tcPr>
          <w:p>
            <w:pPr>
              <w:jc w:val="left"/>
            </w:pPr>
            <w:r>
              <w:rPr>
                <w:rFonts w:ascii="Arial" w:cs="Arial" w:eastAsia="Arial" w:hAnsi="Arial"/>
                <w:b w:val="false"/>
                <w:bCs w:val="false"/>
                <w:color w:val="0A2540"/>
                <w:sz w:val="20"/>
                <w:szCs w:val="20"/>
              </w:rPr>
              <w:t xml:space="preserve">Pipeline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A2540"/>
                <w:sz w:val="20"/>
                <w:szCs w:val="20"/>
              </w:rPr>
              <w:t xml:space="preserve">Month 9</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A2540"/>
                <w:sz w:val="20"/>
                <w:szCs w:val="20"/>
              </w:rPr>
              <w:t xml:space="preserve">Rig Tracker hardware prototype</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A2540"/>
                <w:sz w:val="20"/>
                <w:szCs w:val="20"/>
              </w:rPr>
              <w:t xml:space="preserve">Provisional patent filed</w:t>
            </w:r>
          </w:p>
        </w:tc>
      </w:tr>
      <w:tr>
        <w:tc>
          <w:tcPr>
            <w:tcW w:type="dxa" w:w="2000"/>
            <w:tcBorders>
              <w:top w:val="single" w:color="CCCCCC" w:sz="1"/>
              <w:left w:val="single" w:color="CCCCCC" w:sz="1"/>
              <w:bottom w:val="single" w:color="CCCCCC" w:sz="1"/>
              <w:right w:val="single" w:color="CCCCCC" w:sz="1"/>
            </w:tcBorders>
            <w:shd w:fill="F4F8FB" w:val="clear"/>
            <w:tcMar>
              <w:top w:type="dxa" w:w="60"/>
              <w:left w:type="dxa" w:w="100"/>
              <w:bottom w:type="dxa" w:w="60"/>
              <w:right w:type="dxa" w:w="100"/>
            </w:tcMar>
          </w:tcPr>
          <w:p>
            <w:pPr>
              <w:jc w:val="left"/>
            </w:pPr>
            <w:r>
              <w:rPr>
                <w:rFonts w:ascii="Arial" w:cs="Arial" w:eastAsia="Arial" w:hAnsi="Arial"/>
                <w:b w:val="false"/>
                <w:bCs w:val="false"/>
                <w:color w:val="0A2540"/>
                <w:sz w:val="20"/>
                <w:szCs w:val="20"/>
              </w:rPr>
              <w:t xml:space="preserve">Month 12</w:t>
            </w:r>
          </w:p>
        </w:tc>
        <w:tc>
          <w:tcPr>
            <w:tcW w:type="dxa" w:w="3680"/>
            <w:tcBorders>
              <w:top w:val="single" w:color="CCCCCC" w:sz="1"/>
              <w:left w:val="single" w:color="CCCCCC" w:sz="1"/>
              <w:bottom w:val="single" w:color="CCCCCC" w:sz="1"/>
              <w:right w:val="single" w:color="CCCCCC" w:sz="1"/>
            </w:tcBorders>
            <w:shd w:fill="F4F8FB" w:val="clear"/>
            <w:tcMar>
              <w:top w:type="dxa" w:w="60"/>
              <w:left w:type="dxa" w:w="100"/>
              <w:bottom w:type="dxa" w:w="60"/>
              <w:right w:type="dxa" w:w="100"/>
            </w:tcMar>
          </w:tcPr>
          <w:p>
            <w:pPr>
              <w:jc w:val="left"/>
            </w:pPr>
            <w:r>
              <w:rPr>
                <w:rFonts w:ascii="Arial" w:cs="Arial" w:eastAsia="Arial" w:hAnsi="Arial"/>
                <w:b w:val="false"/>
                <w:bCs w:val="false"/>
                <w:color w:val="0A2540"/>
                <w:sz w:val="20"/>
                <w:szCs w:val="20"/>
              </w:rPr>
              <w:t xml:space="preserve">Direct brand partnerships (AFTCO, Simms, St. Croix)</w:t>
            </w:r>
          </w:p>
        </w:tc>
        <w:tc>
          <w:tcPr>
            <w:tcW w:type="dxa" w:w="3680"/>
            <w:tcBorders>
              <w:top w:val="single" w:color="CCCCCC" w:sz="1"/>
              <w:left w:val="single" w:color="CCCCCC" w:sz="1"/>
              <w:bottom w:val="single" w:color="CCCCCC" w:sz="1"/>
              <w:right w:val="single" w:color="CCCCCC" w:sz="1"/>
            </w:tcBorders>
            <w:shd w:fill="F4F8FB" w:val="clear"/>
            <w:tcMar>
              <w:top w:type="dxa" w:w="60"/>
              <w:left w:type="dxa" w:w="100"/>
              <w:bottom w:type="dxa" w:w="60"/>
              <w:right w:type="dxa" w:w="100"/>
            </w:tcMar>
          </w:tcPr>
          <w:p>
            <w:pPr>
              <w:jc w:val="left"/>
            </w:pPr>
            <w:r>
              <w:rPr>
                <w:rFonts w:ascii="Arial" w:cs="Arial" w:eastAsia="Arial" w:hAnsi="Arial"/>
                <w:b w:val="false"/>
                <w:bCs w:val="false"/>
                <w:color w:val="0A2540"/>
                <w:sz w:val="20"/>
                <w:szCs w:val="20"/>
              </w:rPr>
              <w:t xml:space="preserve">Pipeline</w:t>
            </w:r>
          </w:p>
        </w:tc>
      </w:tr>
    </w:tbl>
    <w:p>
      <w:pPr>
        <w:pStyle w:val="Heading1"/>
        <w:spacing w:before="480"/>
      </w:pPr>
      <w:r>
        <w:t xml:space="preserve">Legal &amp; Intellectual Property</w:t>
      </w:r>
    </w:p>
    <w:p>
      <w:pPr>
        <w:pStyle w:val="ListParagraph"/>
        <w:numPr>
          <w:ilvl w:val="0"/>
          <w:numId w:val="2"/>
        </w:numPr>
      </w:pPr>
      <w:r>
        <w:rPr>
          <w:sz w:val="22"/>
          <w:szCs w:val="22"/>
        </w:rPr>
        <w:t xml:space="preserve">Trademark: “NGN FISHING” filed with USPTO (Serial #99745698), Class 042, Intent to Use. $550 paid April 2026.</w:t>
      </w:r>
    </w:p>
    <w:p>
      <w:pPr>
        <w:pStyle w:val="ListParagraph"/>
        <w:numPr>
          <w:ilvl w:val="0"/>
          <w:numId w:val="2"/>
        </w:numPr>
      </w:pPr>
      <w:r>
        <w:rPr>
          <w:sz w:val="22"/>
          <w:szCs w:val="22"/>
        </w:rPr>
        <w:t xml:space="preserve">Entity: Oak Angel Digital, LLC (Delaware) — formation in progress.</w:t>
      </w:r>
    </w:p>
    <w:p>
      <w:pPr>
        <w:pStyle w:val="ListParagraph"/>
        <w:numPr>
          <w:ilvl w:val="0"/>
          <w:numId w:val="2"/>
        </w:numPr>
      </w:pPr>
      <w:r>
        <w:rPr>
          <w:sz w:val="22"/>
          <w:szCs w:val="22"/>
        </w:rPr>
        <w:t xml:space="preserve">Provisional Patent (recommended): AI-powered move-timing algorithm + rig tracker hardware concept. $320 filing fee. 12-month window to file full patent.</w:t>
      </w:r>
    </w:p>
    <w:p>
      <w:pPr>
        <w:pStyle w:val="ListParagraph"/>
        <w:numPr>
          <w:ilvl w:val="0"/>
          <w:numId w:val="2"/>
        </w:numPr>
      </w:pPr>
      <w:r>
        <w:rPr>
          <w:sz w:val="22"/>
          <w:szCs w:val="22"/>
        </w:rPr>
        <w:t xml:space="preserve">Rig Tracker Patent (recommended): BLE beacon rig location device. File provisional alongside app patent.</w:t>
      </w:r>
    </w:p>
    <w:p>
      <w:pPr>
        <w:pStyle w:val="Heading1"/>
        <w:spacing w:before="480"/>
      </w:pPr>
      <w:r>
        <w:t xml:space="preserve">Contact</w:t>
      </w:r>
    </w:p>
    <w:p>
      <w:r>
        <w:rPr>
          <w:b/>
          <w:bCs/>
          <w:sz w:val="22"/>
          <w:szCs w:val="22"/>
        </w:rPr>
        <w:t xml:space="preserve">Ryley Monaghan, Founder</w:t>
      </w:r>
    </w:p>
    <w:p>
      <w:r>
        <w:rPr>
          <w:sz w:val="22"/>
          <w:szCs w:val="22"/>
        </w:rPr>
        <w:t xml:space="preserve">Oak Angel Digital, LLC</w:t>
      </w:r>
    </w:p>
    <w:p>
      <w:r>
        <w:rPr>
          <w:color w:val="1A6B8A"/>
          <w:sz w:val="22"/>
          <w:szCs w:val="22"/>
        </w:rPr>
        <w:t xml:space="preserve">ngnfishing.com</w:t>
      </w:r>
    </w:p>
    <w:p>
      <w:r>
        <w:rPr>
          <w:sz w:val="22"/>
          <w:szCs w:val="22"/>
        </w:rPr>
        <w:t xml:space="preserve">ryleymonaghan83@gmail.com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4ECDC4"/>
        <w:sz w:val="16"/>
        <w:szCs w:val="16"/>
      </w:rPr>
      <w:t xml:space="preserve">NGN FISHING </w:t>
    </w:r>
    <w:r>
      <w:rPr>
        <w:rFonts w:ascii="Arial" w:cs="Arial" w:eastAsia="Arial" w:hAnsi="Arial"/>
        <w:color w:val="999999"/>
        <w:sz w:val="16"/>
        <w:szCs w:val="16"/>
      </w:rPr>
      <w:t xml:space="preserve">|  Marketing &amp; Retail Plan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A25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A2540"/>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1A6B8A"/>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0A25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2026-04-05T22:33:10.383Z</dcterms:created>
  <dcterms:modified xsi:type="dcterms:W3CDTF">2026-04-05T22:33:10.383Z</dcterms:modified>
</cp:coreProperties>
</file>

<file path=docProps/custom.xml><?xml version="1.0" encoding="utf-8"?>
<Properties xmlns="http://schemas.openxmlformats.org/officeDocument/2006/custom-properties" xmlns:vt="http://schemas.openxmlformats.org/officeDocument/2006/docPropsVTypes"/>
</file>