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m:oMathPara xmlns:w15="http://schemas.microsoft.com/office/word/2012/wordml">
        <m:oMathParaPr>
          <m:jc m:val="center"/>
        </m:oMathParaPr>
        <m:oMath>
          <m:d>
            <m:dPr>
              <m:begChr m:val="("/>
              <m:endChr m:val=")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 w:val="16"/>
                </w:rPr>
                <m:t>text</m:t>
              </m:r>
            </m:e>
          </m:d>
        </m:oMath>
      </m:oMathPara>
      <m:oMathPara xmlns:w15="http://schemas.microsoft.com/office/word/2012/wordml">
        <m:oMathParaPr>
          <m:jc m:val="center"/>
        </m:oMathParaPr>
        <m:oMath>
          <m:d>
            <m:dPr>
              <m:begChr m:val="Н"/>
              <m:endChr m:val=")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</w:rPr>
                    <m:t>num</m:t>
                  </m:r>
                </m:num>
                <m:den>
                  <m:r>
                    <w:rPr>
                      <w:rFonts w:ascii="Cambria Math" w:hAnsi="Cambria Math"/>
                      <w:sz w:val="16"/>
                    </w:rPr>
                    <m:t>den</m:t>
                  </m:r>
                </m:den>
              </m:f>
            </m:e>
          </m:d>
        </m:oMath>
      </m:oMathPara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