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m:oMathPara xmlns:w15="http://schemas.microsoft.com/office/word/2012/wordml"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sz w:val="16"/>
                </w:rPr>
                <m:t>e</m:t>
              </m:r>
            </m:e>
            <m:sub>
              <m:r>
                <w:rPr>
                  <w:rFonts w:ascii="Cambria Math" w:hAnsi="Cambria Math"/>
                  <w:sz w:val="16"/>
                </w:rPr>
                <m:t>i</m:t>
              </m:r>
            </m:sub>
          </m:sSub>
        </m:oMath>
      </m:oMathPara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