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Ms. Padilla — The Corporate Booker (Lumina Systems)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Professional — Rotation 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4 (3:45–4:00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402, Deluxe Suite, ₱2,800/night — room &amp; tax to company, incidentals to personal card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FD-1. Runs alongside FD-2 coordinating Mr. Tan’s work order (Script 06) — no shared Back Office need this rotation.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3:45 PM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checking in for the TechConf block — it should be under Lumina Systems, or my name, Padilla.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sz w:val="20"/>
          <w:szCs w:val="20"/>
        </w:rPr>
        <w:t xml:space="preserve">Yes, here it is — Lumina Systems, conference rate, Deluxe Suite. Welcome, Ms. Padilla! Just to confirm, your company covers the room and tax, and you’ll settle incidentals separately?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That’s right — company card should already be on file for that, and I’ll use my personal card for anything extra, room service, mini-bar, that sort of thing.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Perfect, I’ll set that up as a split folio so your charges route correctly.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(sets up the split folio, begins check-in)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May I have your ID and a card for incidentals, please?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(hands them over) </w:t>
      </w:r>
      <w:r>
        <w:rPr>
          <w:sz w:val="20"/>
          <w:szCs w:val="20"/>
        </w:rPr>
        <w:t xml:space="preserve">Here you go.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(checks her 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All set, Ms. Padilla — you’re in room 402, Deluxe Suite. Room and tax are billed to Lumina Systems, anything additional goes to your personal card. Here are your key cards, and enjoy the conference!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Thank you, appreciate the quick check-in.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4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2026-09-09T16:37:23.386Z</dcterms:created>
  <dcterms:modified xsi:type="dcterms:W3CDTF">2026-09-09T16:37:23.386Z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