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8" w:space="4"/>
        </w:pBdr>
        <w:spacing w:after="160" w:before="200"/>
      </w:pPr>
      <w:r>
        <w:rPr>
          <w:b/>
          <w:bCs/>
          <w:color w:val="1F3864"/>
          <w:sz w:val="30"/>
          <w:szCs w:val="30"/>
        </w:rPr>
        <w:t xml:space="preserve">Ms. Navarro — The Corporate Booker (Solstice Analytics)</w:t>
      </w:r>
    </w:p>
    <w:p>
      <w:pPr>
        <w:spacing w:after="140"/>
      </w:pPr>
      <w:r>
        <w:rPr>
          <w:i/>
          <w:iCs/>
          <w:color w:val="4A5568"/>
          <w:sz w:val="21"/>
          <w:szCs w:val="21"/>
        </w:rPr>
        <w:t xml:space="preserve">Professional — Rotation 4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4 (3:45–4:00 PM)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802, Deluxe Suite, ₱2,800/night — room &amp; tax to company, incidentals to personal card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Guest, Front Desk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Single Front Desk.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FD-1. Runs alongside FD-2 coordinating Mr. Ocampo’s work order (Script 06) — no shared Back Office need this rotation.</w:t>
            </w:r>
          </w:p>
        </w:tc>
      </w:tr>
    </w:tbl>
    <w:p>
      <w:pPr>
        <w:spacing w:after="60"/>
      </w:pPr>
      <w:r>
        <w:rPr>
          <w:sz w:val="19"/>
          <w:szCs w:val="19"/>
        </w:rPr>
        <w:t xml:space="preserve"/>
      </w:r>
    </w:p>
    <w:p>
      <w:pPr>
        <w:spacing w:after="200"/>
      </w:pPr>
      <w:r>
        <w:rPr>
          <w:b/>
          <w:bCs/>
          <w:color w:val="7A1F3D"/>
          <w:sz w:val="16"/>
          <w:szCs w:val="16"/>
        </w:rPr>
        <w:t xml:space="preserve">GUEST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1F3864"/>
          <w:sz w:val="16"/>
          <w:szCs w:val="16"/>
        </w:rPr>
        <w:t xml:space="preserve">FRONT DESK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2F5233"/>
          <w:sz w:val="16"/>
          <w:szCs w:val="16"/>
        </w:rPr>
        <w:t xml:space="preserve">MANAGER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5B3A8E"/>
          <w:sz w:val="16"/>
          <w:szCs w:val="16"/>
        </w:rPr>
        <w:t xml:space="preserve">AUDITOR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A15C1E"/>
          <w:sz w:val="16"/>
          <w:szCs w:val="16"/>
        </w:rPr>
        <w:t xml:space="preserve">HOUSEKEEPING/MAINTENANCE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555555"/>
          <w:sz w:val="16"/>
          <w:szCs w:val="16"/>
        </w:rPr>
        <w:t xml:space="preserve">FACILITATOR</w:t>
      </w:r>
    </w:p>
    <w:p>
      <w:pPr>
        <w:pBdr>
          <w:left w:val="single" w:color="1F3864" w:sz="12" w:space="6"/>
        </w:pBdr>
        <w:spacing w:after="120" w:before="240"/>
        <w:ind w:left="120"/>
      </w:pPr>
      <w:r>
        <w:rPr>
          <w:b/>
          <w:bCs/>
          <w:color w:val="333333"/>
          <w:sz w:val="21"/>
          <w:szCs w:val="21"/>
        </w:rPr>
        <w:t xml:space="preserve">THE SCENE — Front Desk, 3:45 PM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Hi, checking in for the TechConf block — it should be under Solstice Analytics, or my name, Navarro.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(checks) </w:t>
      </w:r>
      <w:r>
        <w:rPr>
          <w:sz w:val="20"/>
          <w:szCs w:val="20"/>
        </w:rPr>
        <w:t xml:space="preserve">Yes, here it is — Solstice Analytics, conference rate, Deluxe Suite. Welcome, Ms. Navarro! Just to confirm, your company covers the room and tax, and you’ll settle incidentals separately?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That’s right — company card should already be on file for that, and I’ll use my personal card for anything extra, room service, mini-bar, that sort of thing.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Perfect, I’ll set that up as a split folio so your charges route correctly.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(sets up the split folio, begins check-in)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May I have your ID and a card for incidentals, please?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(hands them over) </w:t>
      </w:r>
      <w:r>
        <w:rPr>
          <w:sz w:val="20"/>
          <w:szCs w:val="20"/>
        </w:rPr>
        <w:t xml:space="preserve">Here you go.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(checks her in)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All set, Ms. Navarro — you’re in room 802, Deluxe Suite. Room and tax are billed to Solstice Analytics, anything additional goes to your personal card. Here are your key cards, and enjoy the conference!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Thank you, appreciate the quick check-in.</w:t>
      </w:r>
    </w:p>
    <w:p>
      <w:pPr>
        <w:spacing w:after="12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Rotation 4 in the Full-Shift package — Section 4/5.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This script is dialogue and light stage direction only. For the exact system steps and permission boundaries behind each beat, see the companion “Full-Shift Role-Play Scenario Package” document.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200"/>
    </w:pPr>
    <w:rPr>
      <w:rFonts w:ascii="Calibri" w:cs="Calibri" w:eastAsia="Calibri" w:hAnsi="Calibri"/>
      <w:b/>
      <w:bCs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2026-09-09T15:44:30.198Z</dcterms:created>
  <dcterms:modified xsi:type="dcterms:W3CDTF">2026-09-09T15:44:30.198Z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