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InnSight Manuscript — Change Audit and Correction Report</w:t>
      </w:r>
    </w:p>
    <w:p>
      <w:pPr>
        <w:jc w:val="center"/>
      </w:pPr>
      <w:r>
        <w:rPr>
          <w:i/>
          <w:color w:val="555555"/>
          <w:sz w:val="22"/>
        </w:rPr>
        <w:t>Full audit of the final document with issues found, fixes applied, and recommendations</w:t>
      </w:r>
    </w:p>
    <w:p>
      <w:pPr>
        <w:jc w:val="center"/>
      </w:pPr>
      <w:r>
        <w:rPr>
          <w:sz w:val="18"/>
        </w:rPr>
        <w:t>Prepared July 24, 2026  |  Deliverable: InnSight_FINAL_Corrected.docx</w:t>
      </w:r>
    </w:p>
    <w:p/>
    <w:p>
      <w:r>
        <w:rPr>
          <w:b/>
          <w:color w:val="1F3A5F"/>
          <w:sz w:val="32"/>
        </w:rPr>
        <w:t>Summary of What Changed</w:t>
      </w:r>
    </w:p>
    <w:p>
      <w:r>
        <w:rPr>
          <w:b w:val="0"/>
          <w:sz w:val="22"/>
        </w:rPr>
        <w:t>The final manuscript you designated (InnSight_06:24:2026.docx) contained the complete text but none of the 55 figures. The figures exist, fully placed and updated to the as-built system, in InnSight_Revised_Updated.docx. To deliver one complete, corrected document, the final file was rebuilt on the figure-complete version and every text correction was re-applied to it. The result, InnSight_FINAL_Corrected.docx, keeps all 57 embedded diagrams and screenshots (including the Chapter 3 figures that were missing) and carries all of the fixes below.</w:t>
      </w:r>
    </w:p>
    <w:p>
      <w:r>
        <w:rPr>
          <w:b/>
          <w:sz w:val="22"/>
        </w:rPr>
        <w:t>Headline results:</w:t>
      </w:r>
    </w:p>
    <w:p>
      <w:pPr>
        <w:pStyle w:val="ListBullet"/>
      </w:pPr>
      <w:r>
        <w:t>All 57 figures and images are present and render correctly, including every Chapter 3 diagram, sequence diagram, and UI screenshot.</w:t>
      </w:r>
    </w:p>
    <w:p>
      <w:pPr>
        <w:pStyle w:val="ListBullet"/>
      </w:pPr>
      <w:r>
        <w:t>Zero em dashes remain in the body text. Each was rewritten into words or standard punctuation that fits the sentence.</w:t>
      </w:r>
    </w:p>
    <w:p>
      <w:pPr>
        <w:pStyle w:val="ListBullet"/>
      </w:pPr>
      <w:r>
        <w:t>The Objective of the Study is intact and consistent (three objectives, correctly numbered 1, 2, 3).</w:t>
      </w:r>
    </w:p>
    <w:p>
      <w:pPr>
        <w:pStyle w:val="ListBullet"/>
      </w:pPr>
      <w:r>
        <w:t>The Scope and Limitations module descriptions are now full sentences instead of label fragments.</w:t>
      </w:r>
    </w:p>
    <w:p>
      <w:pPr>
        <w:pStyle w:val="ListBullet"/>
      </w:pPr>
      <w:r>
        <w:t>Inconsistent defined terms, a broken characteristic count, and a numbering gap were corrected.</w:t>
      </w:r>
    </w:p>
    <w:p>
      <w:r>
        <w:rPr>
          <w:b/>
          <w:color w:val="1F3A5F"/>
          <w:sz w:val="32"/>
        </w:rPr>
        <w:t>1. Does the Objective of the Study Still Hold?</w:t>
      </w:r>
    </w:p>
    <w:p>
      <w:r>
        <w:rPr>
          <w:b w:val="0"/>
          <w:sz w:val="22"/>
        </w:rPr>
        <w:t>Yes. The objective remains valid and true to the system as built. The stated goal, to develop a web-based integrated PMS and operational simulation environment that improves the practical training and technical readiness of first-year Hospitality Management students at SLSU, matches the delivered system: nine decoupled microservices behind an nginx API Gateway, a three-dimensional housekeeping simulation with automated competency scoring, real-time propagation over Server-Sent Events, six operational roles, and an ISO/IEC 25010:2023 evaluation. No change to the substance of the objective is required.</w:t>
      </w:r>
    </w:p>
    <w:p>
      <w:r>
        <w:rPr>
          <w:b/>
          <w:sz w:val="22"/>
        </w:rPr>
        <w:t>Fixes applied inside the objective:</w:t>
      </w:r>
    </w:p>
    <w:p>
      <w:pPr>
        <w:pStyle w:val="ListBullet"/>
      </w:pPr>
      <w:r>
        <w:t>The lead-in read "four specific objectives" while only three were listed. Corrected to "three specific objectives."</w:t>
      </w:r>
    </w:p>
    <w:p>
      <w:pPr>
        <w:pStyle w:val="ListBullet"/>
      </w:pPr>
      <w:r>
        <w:t>Objective 2 cited "ISO 25010:2023" while the rest of the paper and the opening goal paragraph use "ISO/IEC 25010:2023." Harmonized to "ISO/IEC 25010:2023."</w:t>
      </w:r>
    </w:p>
    <w:p>
      <w:pPr>
        <w:pStyle w:val="ListBullet"/>
      </w:pPr>
      <w:r>
        <w:t>The three objectives were numbered inconsistently (objectives 1 and 2 each sat in a separate auto-numbered list, so both displayed as "1.", while objective 3 was a manually typed "3."). They now read 1, 2, 3 consistently.</w:t>
      </w:r>
    </w:p>
    <w:p>
      <w:r>
        <w:rPr>
          <w:b/>
          <w:color w:val="A62727"/>
          <w:sz w:val="22"/>
        </w:rPr>
        <w:t>Recommendation (optional wording, not applied):</w:t>
      </w:r>
    </w:p>
    <w:p>
      <w:pPr>
        <w:pStyle w:val="ListBullet"/>
      </w:pPr>
      <w:r>
        <w:t>Objective 1 lists eight operational functions (reservations, front-desk stay management, billing, rooms and housekeeping, amenities, maintenance, night audit, and reporting). Chapter 3 names nine technical microservices (Authentication, Reservation, Stay, Folio, Guest, Inventory, Maintenance, Audit, Reports). The two lists are compatible, but you may want to add a short clause noting that these operational features are delivered by the nine underlying services, so a reader does not read a mismatch between "eight functions" and "nine services."</w:t>
      </w:r>
    </w:p>
    <w:p>
      <w:r>
        <w:rPr>
          <w:b/>
          <w:color w:val="1F3A5F"/>
          <w:sz w:val="32"/>
        </w:rPr>
        <w:t>2. Scope and Limitations: Classification Labels Rewritten as Full Sentences</w:t>
      </w:r>
    </w:p>
    <w:p>
      <w:r>
        <w:rPr>
          <w:b w:val="0"/>
          <w:sz w:val="22"/>
        </w:rPr>
        <w:t>Each module description previously began with a classification label followed by a period, for example "Front-desk and reservations." then a sentence. These were rewritten so each begins as a complete sentence. Sample before and after:</w:t>
      </w:r>
    </w:p>
    <w:p>
      <w:r>
        <w:rPr>
          <w:b/>
          <w:sz w:val="22"/>
        </w:rPr>
        <w:t>Before:</w:t>
      </w:r>
    </w:p>
    <w:p>
      <w:r>
        <w:rPr>
          <w:b w:val="0"/>
          <w:color w:val="666666"/>
          <w:sz w:val="20"/>
        </w:rPr>
        <w:t>Front-desk and reservations. Upon login, staff reach an operational dashboard presenting arrivals, departures, and occupancy...</w:t>
      </w:r>
    </w:p>
    <w:p>
      <w:r>
        <w:rPr>
          <w:b/>
          <w:sz w:val="22"/>
        </w:rPr>
        <w:t>After:</w:t>
      </w:r>
    </w:p>
    <w:p>
      <w:r>
        <w:rPr>
          <w:b w:val="0"/>
          <w:color w:val="1E7A3C"/>
          <w:sz w:val="20"/>
        </w:rPr>
        <w:t>The front-desk and reservations module opens, upon login, to an operational dashboard presenting arrivals, departures, and occupancy...</w:t>
      </w:r>
    </w:p>
    <w:p>
      <w:r>
        <w:rPr>
          <w:b w:val="0"/>
          <w:sz w:val="22"/>
        </w:rPr>
        <w:t>The same treatment was applied to the rooms and housekeeping, billing and amenities, oversight and operations, and operational simulation modules. The rooms and housekeeping sentence was also repaired grammatically (the original "state being Clean... which will be updated" became "state, whether Clean... and updates that state live").</w:t>
      </w:r>
    </w:p>
    <w:p>
      <w:r>
        <w:rPr>
          <w:b/>
          <w:sz w:val="22"/>
        </w:rPr>
        <w:t>Redundancy removed:</w:t>
      </w:r>
    </w:p>
    <w:p>
      <w:r>
        <w:rPr>
          <w:b w:val="0"/>
          <w:sz w:val="22"/>
        </w:rPr>
        <w:t>The Scope section contained the limitations twice: a clear two-paragraph limitations statement, followed by a near-duplicate paragraph beginning "The following boundaries define the operational scope of InnSight in its current form." The duplicate (which also carried a stray backtick typo, "stable `internet") was removed, and its one unique point, the single-institution deployment and out-of-scope multi-campus note, was folded into the retained limitations paragraph.</w:t>
      </w:r>
    </w:p>
    <w:p>
      <w:r>
        <w:rPr>
          <w:b/>
          <w:color w:val="1F3A5F"/>
          <w:sz w:val="32"/>
        </w:rPr>
        <w:t>3. Inconsistent Defined Terms</w:t>
      </w:r>
    </w:p>
    <w:p>
      <w:pPr>
        <w:pStyle w:val="ListBullet"/>
      </w:pPr>
      <w:r>
        <w:t>ISO/IEC 25010:2023 vs ISO 25010:2023: the standard was written both ways. Standardized to "ISO/IEC 25010:2023" throughout the body. The single remaining "ISO 25010:2023" is inside the title of a cited work (Naqvi et al., 2025) and is left verbatim, as citation titles should not be altered.</w:t>
      </w:r>
    </w:p>
    <w:p>
      <w:pPr>
        <w:pStyle w:val="ListBullet"/>
      </w:pPr>
      <w:r>
        <w:t>Characteristic count: the Data Gathering section said IT experts evaluated "the seven ISO/IEC 25010:2023 characteristics," but Objective 2 and the Research Design both list nine characteristics. Corrected to "nine."</w:t>
      </w:r>
    </w:p>
    <w:p>
      <w:r>
        <w:rPr>
          <w:b/>
          <w:color w:val="A62727"/>
          <w:sz w:val="22"/>
        </w:rPr>
        <w:t>Recommendation (flagged, applied only to the clear cases):</w:t>
      </w:r>
    </w:p>
    <w:p>
      <w:pPr>
        <w:pStyle w:val="ListBullet"/>
      </w:pPr>
      <w:r>
        <w:t>Campus naming varies across the manuscript: "SLSU," "SLSU Lucban," "SLSU Lucban Campus," "SLSU–Lucban," "SLSU–Lucban Campus," and "Southern Luzon State University – Lucban Campus." The hyphen/en-dash abbreviation forms ("SLSU–Lucban") were normalized to "SLSU Lucban Campus." For full consistency, consider settling on one short form (recommended: "SLSU Lucban Campus") and using it everywhere after the first spelled-out mention.</w:t>
      </w:r>
    </w:p>
    <w:p>
      <w:r>
        <w:rPr>
          <w:b/>
          <w:color w:val="1F3A5F"/>
          <w:sz w:val="32"/>
        </w:rPr>
        <w:t>4. Cross-References</w:t>
      </w:r>
    </w:p>
    <w:p>
      <w:r>
        <w:rPr>
          <w:b w:val="0"/>
          <w:sz w:val="22"/>
        </w:rPr>
        <w:t>The table and figure cross-references were checked and are sound:</w:t>
      </w:r>
    </w:p>
    <w:p>
      <w:pPr>
        <w:pStyle w:val="ListBullet"/>
      </w:pPr>
      <w:r>
        <w:t>"presented in Table 3" points to the Respondent Groups table. Correct.</w:t>
      </w:r>
    </w:p>
    <w:p>
      <w:pPr>
        <w:pStyle w:val="ListBullet"/>
      </w:pPr>
      <w:r>
        <w:t>"as defined in Table 2" points to the Quality Characteristics per Respondent Group table. Correct.</w:t>
      </w:r>
    </w:p>
    <w:p>
      <w:pPr>
        <w:pStyle w:val="ListBullet"/>
      </w:pPr>
      <w:r>
        <w:t>"scale of means presented in Table 4" points to the Four-Point Likert Scale table. Correct.</w:t>
      </w:r>
    </w:p>
    <w:p>
      <w:r>
        <w:rPr>
          <w:b w:val="0"/>
          <w:color w:val="A62727"/>
          <w:sz w:val="22"/>
        </w:rPr>
        <w:t>One forward reference to note (not an error): the Statistical Treatment section refers to results tables "throughout Chapter IV." Chapter IV is not part of this manuscript yet, so confirm it exists before final submission, or soften to "in the results chapter."</w:t>
      </w:r>
    </w:p>
    <w:p>
      <w:r>
        <w:rPr>
          <w:b/>
          <w:color w:val="1F3A5F"/>
          <w:sz w:val="32"/>
        </w:rPr>
        <w:t>5. Numbering Gaps</w:t>
      </w:r>
    </w:p>
    <w:p>
      <w:pPr>
        <w:pStyle w:val="ListBullet"/>
      </w:pPr>
      <w:r>
        <w:t>Objectives list: fixed from an inconsistent 1 / 1 / 3 display to a clean 1 / 2 / 3 (see Section 1).</w:t>
      </w:r>
    </w:p>
    <w:p>
      <w:pPr>
        <w:pStyle w:val="ListBullet"/>
      </w:pPr>
      <w:r>
        <w:t>Figures 1 through 55 and Tables 1 through 4 are present and sequential with no gaps.</w:t>
      </w:r>
    </w:p>
    <w:p>
      <w:pPr>
        <w:pStyle w:val="ListBullet"/>
      </w:pPr>
      <w:r>
        <w:t>Table captions are formatted inconsistently ("Table 1." with a trailing period versus "Table 2", "Table 3", "Table 4" without). This is cosmetic and was left as-is; standardize if your format guide requires it.</w:t>
      </w:r>
    </w:p>
    <w:p>
      <w:r>
        <w:rPr>
          <w:b/>
          <w:color w:val="1F3A5F"/>
          <w:sz w:val="32"/>
        </w:rPr>
        <w:t>6. Em Dash Removal</w:t>
      </w:r>
    </w:p>
    <w:p>
      <w:r>
        <w:rPr>
          <w:b w:val="0"/>
          <w:sz w:val="22"/>
        </w:rPr>
        <w:t>The final document had 90 em dashes. All were removed from the body and replaced with words or fitting punctuation, following these patterns:</w:t>
      </w:r>
    </w:p>
    <w:p>
      <w:pPr>
        <w:pStyle w:val="ListBullet"/>
      </w:pPr>
      <w:r>
        <w:t>Parenthetical lists became "namely ... ," for example "core functions, namely reservations, ... reporting, are separated."</w:t>
      </w:r>
    </w:p>
    <w:p>
      <w:pPr>
        <w:pStyle w:val="ListBullet"/>
      </w:pPr>
      <w:r>
        <w:t>Appositive asides became commas, for example "a usable artifact, in this case a web-based platform, and then subjecting."</w:t>
      </w:r>
    </w:p>
    <w:p>
      <w:pPr>
        <w:pStyle w:val="ListBullet"/>
      </w:pPr>
      <w:r>
        <w:t>Diagram figure titles use "for," for example "Activity Diagram for Login and Authentication."</w:t>
      </w:r>
    </w:p>
    <w:p>
      <w:pPr>
        <w:pStyle w:val="ListBullet"/>
      </w:pPr>
      <w:r>
        <w:t>Screenshot captions use a comma, for example "Login, username-and-password sign-in."</w:t>
      </w:r>
    </w:p>
    <w:p>
      <w:pPr>
        <w:pStyle w:val="ListBullet"/>
      </w:pPr>
      <w:r>
        <w:t>In the reference list, em dashes inside the ISO standard title were replaced with commas while italic formatting was preserved.</w:t>
      </w:r>
    </w:p>
    <w:p>
      <w:r>
        <w:rPr>
          <w:b/>
          <w:color w:val="1E7A3C"/>
          <w:sz w:val="22"/>
        </w:rPr>
        <w:t>Verification: an automated scan of the finished document returns 0 em dashes in the text.</w:t>
      </w:r>
    </w:p>
    <w:p>
      <w:r>
        <w:rPr>
          <w:b/>
          <w:color w:val="1F3A5F"/>
          <w:sz w:val="32"/>
        </w:rPr>
        <w:t>7. Chapter III Figures: Redrawn in Black and White, Boxed, and Titled</w:t>
      </w:r>
    </w:p>
    <w:p>
      <w:r>
        <w:rPr>
          <w:b w:val="0"/>
          <w:sz w:val="22"/>
        </w:rPr>
        <w:t>Every figure in Chapter III (Figures 2 through 55) was reformatted to a single consistent style: black and white, enclosed in a bordered box, with a bold title on top, matching the reference formatting provided.</w:t>
      </w:r>
    </w:p>
    <w:p>
      <w:r>
        <w:rPr>
          <w:b/>
          <w:sz w:val="22"/>
        </w:rPr>
        <w:t>Technical diagrams redrawn (correct as-built content):</w:t>
      </w:r>
    </w:p>
    <w:p>
      <w:pPr>
        <w:pStyle w:val="ListBullet"/>
      </w:pPr>
      <w:r>
        <w:t>The System Architecture, Use Case, Class, Entity-Relationship, Deployment, and Data Flow diagrams, the ten Activity diagrams, and the Iterative-and-Incremental and pre-InnSight framework diagrams were redrawn from scratch as clean monochrome UML.</w:t>
      </w:r>
    </w:p>
    <w:p>
      <w:pPr>
        <w:pStyle w:val="ListBullet"/>
      </w:pPr>
      <w:r>
        <w:t>The pasted draft deployment diagram showed MongoDB and only four services; the redrawn version reflects the manuscript as-built design, namely nine services on PostgreSQL per service, plus Redis, MinIO, Mailhog, and the nginx gateway with published ports 5180 and 8080.</w:t>
      </w:r>
    </w:p>
    <w:p>
      <w:r>
        <w:rPr>
          <w:b/>
          <w:sz w:val="22"/>
        </w:rPr>
        <w:t>Sequence diagrams:</w:t>
      </w:r>
    </w:p>
    <w:p>
      <w:pPr>
        <w:pStyle w:val="ListBullet"/>
      </w:pPr>
      <w:r>
        <w:t>All ten sequence diagrams were redrawn in the same monochrome style, showing the client, gateway, services, Redis, and databases.</w:t>
      </w:r>
    </w:p>
    <w:p>
      <w:pPr>
        <w:pStyle w:val="ListBullet"/>
      </w:pPr>
      <w:r>
        <w:t>An explanation was added directly beneath each sequence diagram describing why the interaction is designed as it is (single gateway entry, service ownership of data, event-driven propagation over Redis and Server-Sent Events, atomic folio settlement, and so on).</w:t>
      </w:r>
    </w:p>
    <w:p>
      <w:r>
        <w:rPr>
          <w:b/>
          <w:sz w:val="22"/>
        </w:rPr>
        <w:t>Screenshots and locale photo:</w:t>
      </w:r>
    </w:p>
    <w:p>
      <w:pPr>
        <w:pStyle w:val="ListBullet"/>
      </w:pPr>
      <w:r>
        <w:t>The Research Locale image and all UI screenshots (Figures 31 through 55) were converted to grayscale and placed in the same titled box, so the entire chapter is uniformly black and white.</w:t>
      </w:r>
    </w:p>
    <w:p>
      <w:r>
        <w:rPr>
          <w:b/>
          <w:color w:val="1F3A5F"/>
          <w:sz w:val="32"/>
        </w:rPr>
        <w:t>Files and Method</w:t>
      </w:r>
    </w:p>
    <w:p>
      <w:r>
        <w:rPr>
          <w:b/>
          <w:sz w:val="22"/>
        </w:rPr>
        <w:t>Deliverables:</w:t>
      </w:r>
    </w:p>
    <w:p>
      <w:pPr>
        <w:pStyle w:val="ListBullet"/>
      </w:pPr>
      <w:r>
        <w:t>InnSight_FINAL_Corrected.docx: the complete, corrected manuscript with all figures and all fixes applied.</w:t>
      </w:r>
    </w:p>
    <w:p>
      <w:pPr>
        <w:pStyle w:val="ListBullet"/>
      </w:pPr>
      <w:r>
        <w:t>This report.</w:t>
      </w:r>
    </w:p>
    <w:p>
      <w:r>
        <w:rPr>
          <w:b w:val="0"/>
          <w:color w:val="666666"/>
          <w:sz w:val="20"/>
        </w:rPr>
        <w:t>Base file: the corrections were applied to the figure-complete version of the manuscript, which shares identical body text with your designated final except for the specific items corrected here. Every change above was verified by rendering the finished document to PDF and inspecting the objective, scope, and figure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