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w:t>
      </w:r>
    </w:p>
    <w:p>
      <w:pPr>
        <w:spacing w:after="80"/>
      </w:pPr>
      <w:r>
        <w:rPr>
          <w:b/>
          <w:bCs/>
          <w:color w:val="1F3864"/>
          <w:sz w:val="44"/>
          <w:szCs w:val="44"/>
        </w:rPr>
        <w:t xml:space="preserve">Multi-Lane Coordination Guide</w:t>
      </w:r>
    </w:p>
    <w:p>
      <w:pPr>
        <w:spacing w:after="300"/>
      </w:pPr>
      <w:r>
        <w:rPr>
          <w:i/>
          <w:iCs/>
          <w:color w:val="4A5568"/>
          <w:sz w:val="20"/>
          <w:szCs w:val="20"/>
        </w:rPr>
        <w:t xml:space="preserve">Read this before running Lane A, Lane B, and Lane C at the same time on the one shared InnSight deployment. It is the piece that does not live inside any single lane's own package, because it is about how the three lanes relate to each other, not about any one of them.</w:t>
      </w:r>
    </w:p>
    <w:p>
      <w:pPr>
        <w:pStyle w:val="Heading1"/>
        <w:pBdr>
          <w:bottom w:val="single" w:color="1F3864" w:sz="8" w:space="4"/>
        </w:pBdr>
        <w:spacing w:after="200" w:before="400"/>
      </w:pPr>
      <w:r>
        <w:rPr>
          <w:b/>
          <w:bCs/>
          <w:color w:val="1F3864"/>
          <w:sz w:val="30"/>
          <w:szCs w:val="30"/>
        </w:rPr>
        <w:t xml:space="preserve">1. Why This Document Exists</w:t>
      </w:r>
    </w:p>
    <w:p>
      <w:pPr>
        <w:spacing w:after="160"/>
      </w:pPr>
      <w:r>
        <w:rPr>
          <w:sz w:val="20"/>
          <w:szCs w:val="20"/>
        </w:rPr>
        <w:t xml:space="preserve">The exercise runs on one deployment and one domain — there is no per-table sandbox. Three facilitator tables use the same InnSight instance, the same database, at the same time, so the same booking of the same person at the same time is a real risk unless something prevents it.</w:t>
      </w:r>
    </w:p>
    <w:p>
      <w:pPr>
        <w:spacing w:after="160"/>
      </w:pPr>
      <w:r>
        <w:rPr>
          <w:sz w:val="20"/>
          <w:szCs w:val="20"/>
        </w:rPr>
        <w:t xml:space="preserve">The fix is not three separate systems. It is one system, partitioned so the three tables never reach for the same row: each lane gets its own block of room numbers, its own room-type codes, and an entirely disjoint cast of guest names. A Front Desk agent at any table can search, book, and check in exactly as the single-lane package describes — they will simply never collide with what the other two tables are doing, because nothing they touch has the same number or the same name.</w:t>
      </w:r>
    </w:p>
    <w:p>
      <w:pPr>
        <w:spacing w:after="160"/>
      </w:pPr>
      <w:r>
        <w:rPr>
          <w:sz w:val="20"/>
          <w:szCs w:val="20"/>
        </w:rPr>
        <w:t xml:space="preserve">One thing is not partitioned, because the system itself does not partition it: the business day. InnSight keeps exactly one row for "today," shared property-wide, and the end-of-shift night audit closes that one row for everybody at once. Sections 4 and 5 below are about that one shared piece — everything else on this page is about confirming the partition itself is solid.</w:t>
      </w:r>
    </w:p>
    <w:p>
      <w:r>
        <w:br w:type="page"/>
      </w:r>
    </w:p>
    <w:p>
      <w:pPr>
        <w:pStyle w:val="Heading1"/>
        <w:pBdr>
          <w:bottom w:val="single" w:color="1F3864" w:sz="8" w:space="4"/>
        </w:pBdr>
        <w:spacing w:after="200" w:before="400"/>
      </w:pPr>
      <w:r>
        <w:rPr>
          <w:b/>
          <w:bCs/>
          <w:color w:val="1F3864"/>
          <w:sz w:val="30"/>
          <w:szCs w:val="30"/>
        </w:rPr>
        <w:t xml:space="preserve">2. The Partition at a Glance</w:t>
      </w:r>
    </w:p>
    <w:p>
      <w:pPr>
        <w:spacing w:after="160"/>
      </w:pPr>
      <w:r>
        <w:rPr>
          <w:sz w:val="20"/>
          <w:szCs w:val="20"/>
        </w:rPr>
        <w:t xml:space="preserve">Hand each facilitator table only its own row. Nobody needs to see the other two columns during the run — this table is here so the lead facilitator (or anyone troubleshooting) can see all three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2300"/>
        <w:gridCol w:w="2380"/>
      </w:tblGrid>
      <w:tr>
        <w:trPr>
          <w:tblHeader/>
        </w:trPr>
        <w:tc>
          <w:tcPr>
            <w:tcW w:type="dxa" w:w="11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w:t>
            </w:r>
          </w:p>
        </w:tc>
        <w:tc>
          <w:tcPr>
            <w:tcW w:type="dxa" w:w="2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Room numbers</w:t>
            </w:r>
          </w:p>
        </w:tc>
        <w:tc>
          <w:tcPr>
            <w:tcW w:type="dxa" w:w="20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Room-type codes</w:t>
            </w:r>
          </w:p>
        </w:tc>
        <w:tc>
          <w:tcPr>
            <w:tcW w:type="dxa" w:w="2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Full-Shift package</w:t>
            </w:r>
          </w:p>
        </w:tc>
        <w:tc>
          <w:tcPr>
            <w:tcW w:type="dxa" w:w="23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Dialogue Scripts folder</w:t>
            </w:r>
          </w:p>
        </w:tc>
      </w:tr>
      <w:tr>
        <w:tc>
          <w:tcPr>
            <w:tcW w:type="dxa" w:w="11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Lane A</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101–103, 201–203, 301–302, 401–402</w:t>
            </w:r>
          </w:p>
        </w:tc>
        <w:tc>
          <w:tcPr>
            <w:tcW w:type="dxa" w:w="20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 DLX</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A.docx</w:t>
            </w:r>
          </w:p>
        </w:tc>
        <w:tc>
          <w:tcPr>
            <w:tcW w:type="dxa" w:w="2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A / Dialogue Scripts"</w:t>
            </w:r>
          </w:p>
        </w:tc>
      </w:tr>
      <w:tr>
        <w:tc>
          <w:tcPr>
            <w:tcW w:type="dxa" w:w="11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Lane B</w:t>
            </w:r>
          </w:p>
        </w:tc>
        <w:tc>
          <w:tcPr>
            <w:tcW w:type="dxa" w:w="2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501–503, 601–603, 701–702, 801–802</w:t>
            </w:r>
          </w:p>
        </w:tc>
        <w:tc>
          <w:tcPr>
            <w:tcW w:type="dxa" w:w="20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STDB, DLXB</w:t>
            </w:r>
          </w:p>
        </w:tc>
        <w:tc>
          <w:tcPr>
            <w:tcW w:type="dxa" w:w="2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B.docx</w:t>
            </w:r>
          </w:p>
        </w:tc>
        <w:tc>
          <w:tcPr>
            <w:tcW w:type="dxa" w:w="2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B / Dialogue Scripts"</w:t>
            </w:r>
          </w:p>
        </w:tc>
      </w:tr>
      <w:tr>
        <w:tc>
          <w:tcPr>
            <w:tcW w:type="dxa" w:w="11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Lane C</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901–903, 1001–1003, 1101–1102, 1201–1202</w:t>
            </w:r>
          </w:p>
        </w:tc>
        <w:tc>
          <w:tcPr>
            <w:tcW w:type="dxa" w:w="20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STDC, DLXC</w:t>
            </w:r>
          </w:p>
        </w:tc>
        <w:tc>
          <w:tcPr>
            <w:tcW w:type="dxa" w:w="2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Full-Shift Scenario Package – Lane C.docx</w:t>
            </w:r>
          </w:p>
        </w:tc>
        <w:tc>
          <w:tcPr>
            <w:tcW w:type="dxa" w:w="2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"Lane C / Dialogue Scripts"</w:t>
            </w:r>
          </w:p>
        </w:tc>
      </w:tr>
    </w:tbl>
    <w:p>
      <w:pPr>
        <w:spacing w:after="100"/>
      </w:pPr>
      <w:r>
        <w:rPr>
          <w:sz w:val="20"/>
          <w:szCs w:val="20"/>
        </w:rPr>
        <w:t xml:space="preserve"/>
      </w:r>
    </w:p>
    <w:p>
      <w:pPr>
        <w:spacing w:after="160"/>
      </w:pPr>
      <w:r>
        <w:rPr>
          <w:i/>
          <w:iCs/>
          <w:sz w:val="18"/>
          <w:szCs w:val="18"/>
        </w:rPr>
        <w:t xml:space="preserve">Every guest, room, folio, stay, and work order any lane creates is scoped by these numbers and codes — there is no other access boundary between lanes (see the caution in Section 3). Staying inside your lane's own package is what keeps that boundary real.</w:t>
      </w:r>
    </w:p>
    <w:p>
      <w:pPr>
        <w:pStyle w:val="Heading2"/>
        <w:spacing w:after="140" w:before="320"/>
      </w:pPr>
      <w:r>
        <w:rPr>
          <w:b/>
          <w:bCs/>
          <w:color w:val="1F3864"/>
          <w:sz w:val="25"/>
          <w:szCs w:val="25"/>
        </w:rPr>
        <w:t xml:space="preserve">2.1 Full Cast Map</w:t>
      </w:r>
    </w:p>
    <w:p>
      <w:pPr>
        <w:spacing w:after="160"/>
      </w:pPr>
      <w:r>
        <w:rPr>
          <w:sz w:val="20"/>
          <w:szCs w:val="20"/>
        </w:rPr>
        <w:t xml:space="preserve">The same guest thread, by lane. If a name gets called out across tables — "has anyone seen Isabel Aquino's reservation?" — this is the row to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A</w:t>
            </w:r>
          </w:p>
        </w:tc>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B</w:t>
            </w:r>
          </w:p>
        </w:tc>
        <w:tc>
          <w:tcPr>
            <w:tcW w:type="dxa" w:w="336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Lane C</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Juan Dela Cruz</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Rafael Mendoza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Patrick Fernandez</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Maria Santos</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Isabel Aquino</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Grace Domingo</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Carla Bautista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Teresa Salazar</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Ana Herrera</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Villanueva Family</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Ramos Family</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Lozada Family</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Enriquez</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Villareal</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Castillo</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Tan (Lane A room 301)</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Ocampo (701)</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Marquez (1101)</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Padilla / Lumina Systems</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Navarro / Solstice Analytics</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Ms. Uy / Vantage Point Consulting</w:t>
            </w:r>
          </w:p>
        </w:tc>
      </w:tr>
      <w:tr>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Ramon Cruz</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Renato Bonifacio</w:t>
            </w:r>
          </w:p>
        </w:tc>
        <w:tc>
          <w:tcPr>
            <w:tcW w:type="dxa" w:w="336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Ferdie Solis</w:t>
            </w:r>
          </w:p>
        </w:tc>
      </w:tr>
      <w:tr>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dela Rosa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Cabrera</w:t>
            </w:r>
          </w:p>
        </w:tc>
        <w:tc>
          <w:tcPr>
            <w:tcW w:type="dxa" w:w="336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Mr./Ms. Rivera</w:t>
            </w:r>
          </w:p>
        </w:tc>
      </w:tr>
    </w:tbl>
    <w:p>
      <w:r>
        <w:br w:type="page"/>
      </w:r>
    </w:p>
    <w:p>
      <w:pPr>
        <w:pStyle w:val="Heading1"/>
        <w:pBdr>
          <w:bottom w:val="single" w:color="1F3864" w:sz="8" w:space="4"/>
        </w:pBdr>
        <w:spacing w:after="200" w:before="400"/>
      </w:pPr>
      <w:r>
        <w:rPr>
          <w:b/>
          <w:bCs/>
          <w:color w:val="1F3864"/>
          <w:sz w:val="30"/>
          <w:szCs w:val="30"/>
        </w:rPr>
        <w:t xml:space="preserve">3. What's Isolated per Lane vs What's Genuinely Shared</w:t>
      </w:r>
    </w:p>
    <w:p>
      <w:pPr>
        <w:spacing w:after="160"/>
      </w:pPr>
      <w:r>
        <w:rPr>
          <w:sz w:val="20"/>
          <w:szCs w:val="20"/>
        </w:rPr>
        <w:t xml:space="preserve">This is the technical basis for the whole design — confirmed against the service code, not assumed. Everything InnSight scopes by an ID (a room, a guest, a reservation, a folio, a stay, a work order) is naturally safe once each lane's rooms and cast are disjoint, because there is no row any two lanes could both be reaching for. Two things are not scoped that way, and those are the two this document exists to manage.</w:t>
      </w:r>
    </w:p>
    <w:p>
      <w:pPr>
        <w:pStyle w:val="Heading2"/>
        <w:spacing w:after="140" w:before="320"/>
      </w:pPr>
      <w:r>
        <w:rPr>
          <w:b/>
          <w:bCs/>
          <w:color w:val="1F3864"/>
          <w:sz w:val="25"/>
          <w:szCs w:val="25"/>
        </w:rPr>
        <w:t xml:space="preserve">3.1 Isolated — safe by construction</w:t>
      </w:r>
    </w:p>
    <w:p>
      <w:pPr>
        <w:pStyle w:val="ListParagraph"/>
        <w:numPr>
          <w:ilvl w:val="0"/>
          <w:numId w:val="1"/>
        </w:numPr>
        <w:spacing w:after="80"/>
      </w:pPr>
      <w:r>
        <w:rPr>
          <w:sz w:val="20"/>
          <w:szCs w:val="20"/>
        </w:rPr>
        <w:t xml:space="preserve">Rooms, and every status change on them (clean, dirty, out-of-order, occupied) — scoped by room number, and no two lanes share a number.</w:t>
      </w:r>
    </w:p>
    <w:p>
      <w:pPr>
        <w:pStyle w:val="ListParagraph"/>
        <w:numPr>
          <w:ilvl w:val="0"/>
          <w:numId w:val="1"/>
        </w:numPr>
        <w:spacing w:after="80"/>
      </w:pPr>
      <w:r>
        <w:rPr>
          <w:sz w:val="20"/>
          <w:szCs w:val="20"/>
        </w:rPr>
        <w:t xml:space="preserve">Guests, reservations, stays, folios, and work orders — scoped by their own IDs and reached in the UI by guest name or room number, and no two lanes share a name or a room number either.</w:t>
      </w:r>
    </w:p>
    <w:p>
      <w:pPr>
        <w:pStyle w:val="ListParagraph"/>
        <w:numPr>
          <w:ilvl w:val="0"/>
          <w:numId w:val="1"/>
        </w:numPr>
        <w:spacing w:after="80"/>
      </w:pPr>
      <w:r>
        <w:rPr>
          <w:sz w:val="20"/>
          <w:szCs w:val="20"/>
        </w:rPr>
        <w:t xml:space="preserve">Room-type availability (POST /holds, and every reservation that creates one) — scoped by room-type code. This is exactly why Lane B and Lane C get their own codes (STDB/DLXB, STDC/DLXC) instead of reusing Lane A's STD/DLX: see the callout in each lane's own Section 2.1 for the full technical reason (the short version — availability is tracked by a single counter per code, not per physical room, so sharing a code means sharing the counter).</w:t>
      </w:r>
    </w:p>
    <w:p>
      <w:pPr>
        <w:pStyle w:val="ListParagraph"/>
        <w:numPr>
          <w:ilvl w:val="0"/>
          <w:numId w:val="1"/>
        </w:numPr>
        <w:spacing w:after="80"/>
      </w:pPr>
      <w:r>
        <w:rPr>
          <w:sz w:val="20"/>
          <w:szCs w:val="20"/>
        </w:rPr>
        <w:t xml:space="preserve">Guest anonymize/loyalty flags, refunds, void-transactions, and every other back-office action in the Coverage Checklist — all reached through the guest, reservation, or folio ID, so the same isolation applies automatically.</w:t>
      </w:r>
    </w:p>
    <w:p>
      <w:pPr>
        <w:pStyle w:val="Heading2"/>
        <w:spacing w:after="140" w:before="320"/>
      </w:pPr>
      <w:r>
        <w:rPr>
          <w:b/>
          <w:bCs/>
          <w:color w:val="1F3864"/>
          <w:sz w:val="25"/>
          <w:szCs w:val="25"/>
        </w:rPr>
        <w:t xml:space="preserve">3.2 Shared — needs coordination, covered in Sections 4–5</w:t>
      </w:r>
    </w:p>
    <w:p>
      <w:pPr>
        <w:pStyle w:val="ListParagraph"/>
        <w:numPr>
          <w:ilvl w:val="0"/>
          <w:numId w:val="1"/>
        </w:numPr>
        <w:spacing w:after="80"/>
      </w:pPr>
      <w:r>
        <w:rPr>
          <w:sz w:val="20"/>
          <w:szCs w:val="20"/>
        </w:rPr>
        <w:t xml:space="preserve">The business day itself. InnSight keeps one businessDay row per calendar date, property-wide — there is no per-lane copy. Opening it is safe to attempt from every lane; closing it (the night audit) affects every in-house stay on the property at once, not just one lane's.</w:t>
      </w:r>
    </w:p>
    <w:p>
      <w:pPr>
        <w:pStyle w:val="ListParagraph"/>
        <w:numPr>
          <w:ilvl w:val="0"/>
          <w:numId w:val="1"/>
        </w:numPr>
        <w:spacing w:after="80"/>
      </w:pPr>
      <w:r>
        <w:rPr>
          <w:sz w:val="20"/>
          <w:szCs w:val="20"/>
        </w:rPr>
        <w:t xml:space="preserve">The reservation add-on/service-fee percentage (PUT /settings/addon-fee-percent) — a single property-wide setting, last write wins. If more than one lane's Manager changes it, whichever call lands last is what every lane sees afterward.</w:t>
      </w:r>
    </w:p>
    <w:p>
      <w:pPr>
        <w:pStyle w:val="ListParagraph"/>
        <w:numPr>
          <w:ilvl w:val="0"/>
          <w:numId w:val="1"/>
        </w:numPr>
        <w:spacing w:after="80"/>
      </w:pPr>
      <w:r>
        <w:rPr>
          <w:sz w:val="20"/>
          <w:szCs w:val="20"/>
        </w:rPr>
        <w:t xml:space="preserve">Anything Admin-only that a facilitator sets up before Rotation 1 — room types, rooms, rate plans — is only shared in the sense that it typically runs from one Admin login. The actions themselves (disjoint codes, disjoint room numbers) don't collide; see Section 6 for a clean setup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Caution — the partition is a naming discipline, not an access boundary the system enforces. Nothing technically stops a Lane B agent from searching up a Lane C guest and checking them in; InnSight has no concept of "lanes" or per-table scoping at all. The isolation above holds only as long as every table stays inside its own room numbers and its own cast — that discipline is the actual mechanism, not a system guarantee.</w:t>
            </w:r>
          </w:p>
        </w:tc>
      </w:tr>
    </w:tbl>
    <w:p>
      <w:r>
        <w:br w:type="page"/>
      </w:r>
    </w:p>
    <w:p>
      <w:pPr>
        <w:pStyle w:val="Heading1"/>
        <w:pBdr>
          <w:bottom w:val="single" w:color="1F3864" w:sz="8" w:space="4"/>
        </w:pBdr>
        <w:spacing w:after="200" w:before="400"/>
      </w:pPr>
      <w:r>
        <w:rPr>
          <w:b/>
          <w:bCs/>
          <w:color w:val="1F3864"/>
          <w:sz w:val="30"/>
          <w:szCs w:val="30"/>
        </w:rPr>
        <w:t xml:space="preserve">4. Pre-Shift Setup — Order of Operations</w:t>
      </w:r>
    </w:p>
    <w:p>
      <w:pPr>
        <w:spacing w:after="160"/>
      </w:pPr>
      <w:r>
        <w:rPr>
          <w:sz w:val="20"/>
          <w:szCs w:val="20"/>
        </w:rPr>
        <w:t xml:space="preserve">Everything below has to be in place before the 3:00 PM whistle for any lane. The steps for different lanes don't conflict with each other (disjoint codes, disjoint numbers), so they can run in parallel if three facilitators are available — the order only matters within a single lane's own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5380"/>
      </w:tblGrid>
      <w:tr>
        <w:trPr>
          <w:tblHeader/>
        </w:trPr>
        <w:tc>
          <w:tcPr>
            <w:tcW w:type="dxa" w:w="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c>
          <w:tcPr>
            <w:tcW w:type="dxa" w:w="4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Step</w:t>
            </w:r>
          </w:p>
        </w:tc>
        <w:tc>
          <w:tcPr>
            <w:tcW w:type="dxa" w:w="53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Notes</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Run scripts/seed-demo.sh once.</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Creates Lane A's room types (STD, DLX), Lane A's 10 rooms, and the 3 base seeded guests. This step is Lane A's setup — it does nothing for Lane B or Lane C.</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For Lane B: create room types STDB/DLXB, then Lane B's 10 rooms (501–503, 601–603, 701–702, 801–802).</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See Lane B's own package, Section 2.1, for the exact calls.</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3</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For Lane C: create room types STDC/DLXC, then Lane C's 10 rooms (901–903, 1001–1003, 1101–1102, 1201–1202).</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See Lane C's own package, Section 2.1, for the exact calls.</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4</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 creates its own no-show reservation and sets its own room board to the starting state in its own package's Section 2.2.</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Independent per lane — disjoint room numbers mean no cross-lane effect either way.</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5</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lane's Admin creates its own "Holiday Weekend" rate plan, scoped to that lane's own room-type codes.</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 rate plan is tied to a roomTypeCode, so this is automatically lane-scoped once Step 2/3 is done — no extra care needed here.</w:t>
            </w:r>
          </w:p>
        </w:tc>
      </w:tr>
      <w:tr>
        <w:tc>
          <w:tcPr>
            <w:tcW w:type="dxa" w:w="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6</w:t>
            </w:r>
          </w:p>
        </w:tc>
        <w:tc>
          <w:tcPr>
            <w:tcW w:type="dxa" w:w="4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Each lane's Auditor opens the business day.</w:t>
            </w:r>
          </w:p>
        </w:tc>
        <w:tc>
          <w:tcPr>
            <w:tcW w:type="dxa" w:w="53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Safe in any order, safe to attempt from all three lanes — see Section 5.1. Whichever Auditor goes first actually opens it; the other two just see it's already open.</w:t>
            </w:r>
          </w:p>
        </w:tc>
      </w:tr>
      <w:tr>
        <w:tc>
          <w:tcPr>
            <w:tcW w:type="dxa" w:w="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7</w:t>
            </w:r>
          </w:p>
        </w:tc>
        <w:tc>
          <w:tcPr>
            <w:tcW w:type="dxa" w:w="4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All three facilitators blow the 3:00 PM whistle together.</w:t>
            </w:r>
          </w:p>
        </w:tc>
        <w:tc>
          <w:tcPr>
            <w:tcW w:type="dxa" w:w="53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Rotation 1 starts simultaneously across all three lanes.</w:t>
            </w:r>
          </w:p>
        </w:tc>
      </w:tr>
    </w:tbl>
    <w:p>
      <w:r>
        <w:br w:type="page"/>
      </w:r>
    </w:p>
    <w:p>
      <w:pPr>
        <w:pStyle w:val="Heading1"/>
        <w:pBdr>
          <w:bottom w:val="single" w:color="1F3864" w:sz="8" w:space="4"/>
        </w:pBdr>
        <w:spacing w:after="200" w:before="400"/>
      </w:pPr>
      <w:r>
        <w:rPr>
          <w:b/>
          <w:bCs/>
          <w:color w:val="1F3864"/>
          <w:sz w:val="30"/>
          <w:szCs w:val="30"/>
        </w:rPr>
        <w:t xml:space="preserve">5. The Shared Business Day — Opening &amp; Closing Protocol</w:t>
      </w:r>
    </w:p>
    <w:p>
      <w:pPr>
        <w:spacing w:after="160"/>
      </w:pPr>
      <w:r>
        <w:rPr>
          <w:sz w:val="20"/>
          <w:szCs w:val="20"/>
        </w:rPr>
        <w:t xml:space="preserve">This is the one piece of the exercise that is not partitioned, because InnSight itself does not partition it. Every lane's own "Opening and Closing the Shift" dialogue script includes the CROSS-LANE beats below in miniature — this section is the full, authoritative version behind those beats.</w:t>
      </w:r>
    </w:p>
    <w:p>
      <w:pPr>
        <w:pStyle w:val="Heading2"/>
        <w:spacing w:after="140" w:before="320"/>
      </w:pPr>
      <w:r>
        <w:rPr>
          <w:b/>
          <w:bCs/>
          <w:color w:val="1F3864"/>
          <w:sz w:val="25"/>
          <w:szCs w:val="25"/>
        </w:rPr>
        <w:t xml:space="preserve">5.1 Opening — safe to attempt from every lane</w:t>
      </w:r>
    </w:p>
    <w:p>
      <w:pPr>
        <w:spacing w:after="160"/>
      </w:pPr>
      <w:r>
        <w:rPr>
          <w:sz w:val="20"/>
          <w:szCs w:val="20"/>
        </w:rPr>
        <w:t xml:space="preserve">POST /api/audit/open-day opens the one shared business day. It is harmless to call more than once: the first call opens it, every later call (from any lane) simply finds it already open. No coordination is required here beyond each lane's own Auditor doing it once, in their own Rotation 1, as their own package describes.</w:t>
      </w:r>
    </w:p>
    <w:p>
      <w:pPr>
        <w:pStyle w:val="Heading2"/>
        <w:spacing w:after="140" w:before="320"/>
      </w:pPr>
      <w:r>
        <w:rPr>
          <w:b/>
          <w:bCs/>
          <w:color w:val="1F3864"/>
          <w:sz w:val="25"/>
          <w:szCs w:val="25"/>
        </w:rPr>
        <w:t xml:space="preserve">5.2 Mid-shift — the property-wide pricing lever</w:t>
      </w:r>
    </w:p>
    <w:p>
      <w:pPr>
        <w:spacing w:after="160"/>
      </w:pPr>
      <w:r>
        <w:rPr>
          <w:sz w:val="20"/>
          <w:szCs w:val="20"/>
        </w:rPr>
        <w:t xml:space="preserve">PUT /api/settings/addon-fee-percent is a single setting, not one per lane. If Rotation 4's Manager beat plays out independently at all three tables, whichever call lands last is what the whole property shows afterward — the other two lanes' changes aren't lost technically, they're just overwritten. Two reasonable ways to run it:</w:t>
      </w:r>
    </w:p>
    <w:p>
      <w:pPr>
        <w:pStyle w:val="ListParagraph"/>
        <w:numPr>
          <w:ilvl w:val="0"/>
          <w:numId w:val="1"/>
        </w:numPr>
        <w:spacing w:after="80"/>
      </w:pPr>
      <w:r>
        <w:rPr>
          <w:sz w:val="20"/>
          <w:szCs w:val="20"/>
        </w:rPr>
        <w:t xml:space="preserve">Treat it as a genuinely shared decision — one Manager (from any lane) makes the call once, and the other two lanes' Managers narrate agreeing with it rather than re-issuing the PUT.</w:t>
      </w:r>
    </w:p>
    <w:p>
      <w:pPr>
        <w:pStyle w:val="ListParagraph"/>
        <w:numPr>
          <w:ilvl w:val="0"/>
          <w:numId w:val="1"/>
        </w:numPr>
        <w:spacing w:after="80"/>
      </w:pPr>
      <w:r>
        <w:rPr>
          <w:sz w:val="20"/>
          <w:szCs w:val="20"/>
        </w:rPr>
        <w:t xml:space="preserve">Or let all three fire independently and use the last-write-wins behavior itself as the teaching moment — it's a real, accurate demonstration of what "property-wide setting" means. Either is fine; just don't treat a changed number as a bug if a different lane touched it after you did.</w:t>
      </w:r>
    </w:p>
    <w:p>
      <w:pPr>
        <w:pStyle w:val="Heading2"/>
        <w:spacing w:after="140" w:before="320"/>
      </w:pPr>
      <w:r>
        <w:rPr>
          <w:b/>
          <w:bCs/>
          <w:color w:val="1F3864"/>
          <w:sz w:val="25"/>
          <w:szCs w:val="25"/>
        </w:rPr>
        <w:t xml:space="preserve">5.3 Closing — must happen exactly once, coordinated</w:t>
      </w:r>
    </w:p>
    <w:p>
      <w:pPr>
        <w:spacing w:after="160"/>
      </w:pPr>
      <w:r>
        <w:rPr>
          <w:sz w:val="20"/>
          <w:szCs w:val="20"/>
        </w:rPr>
        <w:t xml:space="preserve">POST /api/audit/run is the one call in this entire exercise that is genuinely, unavoidably global. It fetches every in-house stay on the whole property — all three lanes at once — posts a room charge to each one, marks every still-CONFIRMED same-day reservation across the whole property as a no-show, and locks the business day. There is no per-lane version of this call, and no undo once it runs.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This is why it is a hard stop, not a suggestion: running it before all three lanes have reached their Rotation 6 wrap-up will post charges and no-show flags against guests at tables that are still mid-scenario — locking in an outcome for a storyline that hasn't finished yet, with no way to reverse it.</w:t>
            </w:r>
          </w:p>
          <w:p>
            <w:pPr>
              <w:spacing w:after="60"/>
            </w:pPr>
            <w:r>
              <w:rPr>
                <w:i/>
                <w:iCs/>
                <w:sz w:val="19"/>
                <w:szCs w:val="19"/>
              </w:rPr>
              <w:t xml:space="preserve">Protocol: each lane's Facilitator confirms with the other two Facilitators that every table has reached Rotation 6 before anyone touches this endpoint. The three Facilitators agree in advance which single Auditor will run it — doesn't matter which lane, only that it happens once. Every other lane's Auditor stands down on this specific call.</w:t>
            </w:r>
          </w:p>
          <w:p>
            <w:pPr>
              <w:spacing w:after="0"/>
            </w:pPr>
            <w:r>
              <w:rPr>
                <w:i/>
                <w:iCs/>
                <w:sz w:val="19"/>
                <w:szCs w:val="19"/>
              </w:rPr>
              <w:t xml:space="preserve">Once it runs, the day is closed for the entire property — every lane's capstone (Section 6, Coverage Checklist, in each package) is complete at the same moment.</w:t>
            </w:r>
          </w:p>
        </w:tc>
      </w:tr>
    </w:tbl>
    <w:p>
      <w:r>
        <w:br w:type="page"/>
      </w:r>
    </w:p>
    <w:p>
      <w:pPr>
        <w:pStyle w:val="Heading1"/>
        <w:pBdr>
          <w:bottom w:val="single" w:color="1F3864" w:sz="8" w:space="4"/>
        </w:pBdr>
        <w:spacing w:after="200" w:before="400"/>
      </w:pPr>
      <w:r>
        <w:rPr>
          <w:b/>
          <w:bCs/>
          <w:color w:val="1F3864"/>
          <w:sz w:val="30"/>
          <w:szCs w:val="30"/>
        </w:rPr>
        <w:t xml:space="preserve">6. Facilitator Quick-Reference</w:t>
      </w:r>
    </w:p>
    <w:p>
      <w:pPr>
        <w:spacing w:after="160"/>
      </w:pPr>
      <w:r>
        <w:rPr>
          <w:sz w:val="20"/>
          <w:szCs w:val="20"/>
        </w:rPr>
        <w:t xml:space="preserve">For whoever is coordinating across all three tables during the live run.</w:t>
      </w:r>
    </w:p>
    <w:p>
      <w:pPr>
        <w:pStyle w:val="ListParagraph"/>
        <w:numPr>
          <w:ilvl w:val="0"/>
          <w:numId w:val="1"/>
        </w:numPr>
        <w:spacing w:after="80"/>
      </w:pPr>
      <w:r>
        <w:rPr>
          <w:sz w:val="20"/>
          <w:szCs w:val="20"/>
        </w:rPr>
        <w:t xml:space="preserve">Before 3:00 PM: confirm all three lanes' pre-shift setup is done (Section 4) and all three business days are open (5.1) before the first whistle.</w:t>
      </w:r>
    </w:p>
    <w:p>
      <w:pPr>
        <w:pStyle w:val="ListParagraph"/>
        <w:numPr>
          <w:ilvl w:val="0"/>
          <w:numId w:val="1"/>
        </w:numPr>
        <w:spacing w:after="80"/>
      </w:pPr>
      <w:r>
        <w:rPr>
          <w:sz w:val="20"/>
          <w:szCs w:val="20"/>
        </w:rPr>
        <w:t xml:space="preserve">During the shift: if a name or room number sounds unfamiliar, check the Cast Map (2.1) or Partition table (Section 2) — it almost certainly belongs to another lane, not an error.</w:t>
      </w:r>
    </w:p>
    <w:p>
      <w:pPr>
        <w:pStyle w:val="ListParagraph"/>
        <w:numPr>
          <w:ilvl w:val="0"/>
          <w:numId w:val="1"/>
        </w:numPr>
        <w:spacing w:after="80"/>
      </w:pPr>
      <w:r>
        <w:rPr>
          <w:sz w:val="20"/>
          <w:szCs w:val="20"/>
        </w:rPr>
        <w:t xml:space="preserve">Rotation 4: expect the add-on/service-fee percentage to possibly change more than once as different lanes reach that beat — see 5.2.</w:t>
      </w:r>
    </w:p>
    <w:p>
      <w:pPr>
        <w:pStyle w:val="ListParagraph"/>
        <w:numPr>
          <w:ilvl w:val="0"/>
          <w:numId w:val="1"/>
        </w:numPr>
        <w:spacing w:after="80"/>
      </w:pPr>
      <w:r>
        <w:rPr>
          <w:sz w:val="20"/>
          <w:szCs w:val="20"/>
        </w:rPr>
        <w:t xml:space="preserve">Rotation 6 / closing: do not let any single lane's Auditor run the night audit on their own timeline. Hold for all three, then run it exactly once — see 5.3.</w:t>
      </w:r>
    </w:p>
    <w:p>
      <w:pPr>
        <w:pStyle w:val="ListParagraph"/>
        <w:numPr>
          <w:ilvl w:val="0"/>
          <w:numId w:val="1"/>
        </w:numPr>
        <w:spacing w:after="80"/>
      </w:pPr>
      <w:r>
        <w:rPr>
          <w:sz w:val="20"/>
          <w:szCs w:val="20"/>
        </w:rPr>
        <w:t xml:space="preserve">If something looks cross-contaminated (a Lane A name showing up on a Lane B room, for instance), stop and check whether an actor typed the wrong lane's name into the system by habit — the system will not stop them, since the partition is discipline, not enforcement (Section 3.2 caution).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2026-09-09T16:37:25.804Z</dcterms:created>
  <dcterms:modified xsi:type="dcterms:W3CDTF">2026-09-09T16:37:25.804Z</dcterms:modified>
</cp:coreProperties>
</file>

<file path=docProps/custom.xml><?xml version="1.0" encoding="utf-8"?>
<Properties xmlns="http://schemas.openxmlformats.org/officeDocument/2006/custom-properties" xmlns:vt="http://schemas.openxmlformats.org/officeDocument/2006/docPropsVTypes"/>
</file>