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04FCA" w14:textId="77777777" w:rsidR="001F7FF8" w:rsidRDefault="001F7FF8" w:rsidP="001F7FF8">
      <w:r w:rsidRPr="001F7FF8">
        <w:rPr>
          <w:b/>
          <w:bCs/>
        </w:rPr>
        <w:t xml:space="preserve">Annex </w:t>
      </w:r>
      <w:proofErr w:type="spellStart"/>
      <w:proofErr w:type="gramStart"/>
      <w:r w:rsidRPr="001F7FF8">
        <w:rPr>
          <w:b/>
          <w:bCs/>
        </w:rPr>
        <w:t>A</w:t>
      </w:r>
      <w:proofErr w:type="spellEnd"/>
      <w:proofErr w:type="gramEnd"/>
      <w:r w:rsidRPr="001F7FF8">
        <w:rPr>
          <w:b/>
          <w:bCs/>
        </w:rPr>
        <w:t xml:space="preserve"> Explanatory Material</w:t>
      </w:r>
      <w:r w:rsidRPr="001F7FF8">
        <w:t xml:space="preserve"> </w:t>
      </w:r>
    </w:p>
    <w:p w14:paraId="100F1924" w14:textId="1AF5007C" w:rsidR="001F7FF8" w:rsidRPr="001F7FF8" w:rsidRDefault="001F7FF8" w:rsidP="001F7FF8">
      <w:r w:rsidRPr="001F7FF8">
        <w:t>Annex A is not a part of the requirements of this NFPA document but is included for informational purposes only. This annex contains explanatory material, numbered to correspond with the applicable text paragraphs.</w:t>
      </w:r>
    </w:p>
    <w:p w14:paraId="2E44326D" w14:textId="77777777" w:rsidR="001F7FF8" w:rsidRPr="001F7FF8" w:rsidRDefault="001F7FF8" w:rsidP="001F7FF8">
      <w:pPr>
        <w:numPr>
          <w:ilvl w:val="0"/>
          <w:numId w:val="1"/>
        </w:numPr>
      </w:pPr>
      <w:r w:rsidRPr="001F7FF8">
        <w:t>A.1.1 Those members of the engineering profession and others associated with the design, manufacturing, and inspection of recreational vehicles have been aware of the need for uniform technical standards leading to the proper use of this special type of equipment. They also have recognized that, because of conditions of transport, size, and use, existing standards for motor vehicles or permanent buildings are not completely applicable to recreational vehicles. It is with these factors in mind that this standard has been developed. Much of the material in this standard has been taken from or is based on nationally recognized standards for fire and life safety. Applicable standards are shown in Chapter 2.</w:t>
      </w:r>
    </w:p>
    <w:p w14:paraId="094F49DB" w14:textId="77777777" w:rsidR="001F7FF8" w:rsidRPr="001F7FF8" w:rsidRDefault="001F7FF8" w:rsidP="001F7FF8">
      <w:pPr>
        <w:numPr>
          <w:ilvl w:val="0"/>
          <w:numId w:val="1"/>
        </w:numPr>
      </w:pPr>
      <w:r w:rsidRPr="001F7FF8">
        <w:t>A.1.3.1 This standard should not be intended as a design specification or an instruction manual.</w:t>
      </w:r>
    </w:p>
    <w:p w14:paraId="41D10A42" w14:textId="77777777" w:rsidR="001F7FF8" w:rsidRPr="001F7FF8" w:rsidRDefault="001F7FF8" w:rsidP="001F7FF8">
      <w:pPr>
        <w:numPr>
          <w:ilvl w:val="0"/>
          <w:numId w:val="1"/>
        </w:numPr>
      </w:pPr>
      <w:r w:rsidRPr="001F7FF8">
        <w:t>A.1.6 SI stands for the International System of Units, which is officially abbreviated SI in all languages. For full explanation, see IEEE/ASTM SI 10.</w:t>
      </w:r>
    </w:p>
    <w:p w14:paraId="0B836C8F" w14:textId="77777777" w:rsidR="001F7FF8" w:rsidRPr="001F7FF8" w:rsidRDefault="001F7FF8" w:rsidP="001F7FF8">
      <w:pPr>
        <w:numPr>
          <w:ilvl w:val="0"/>
          <w:numId w:val="1"/>
        </w:numPr>
      </w:pPr>
      <w:r w:rsidRPr="001F7FF8">
        <w:t>A.3.2.1 Approved. The National Fire Protection Association does not approve, inspect, or certify any installations, procedures, equipment, or materials nor does it approve or evaluate testing laboratories. In determining the acceptability of installations or procedures, equipment, or materials, the "authority having jurisdiction" may base acceptance on compliance with NFPA or other appropriate standards. In the absence of such standards, said authority may require evidence of proper installation, procedure, or use. The "authority having jurisdiction" may also refer to the listings or labeling practices of an organization that is concerned with product evaluations and is thus in a position to determine compliance with appropriate standards for the current production of listed items.</w:t>
      </w:r>
    </w:p>
    <w:p w14:paraId="4BE8509D" w14:textId="77777777" w:rsidR="001F7FF8" w:rsidRPr="001F7FF8" w:rsidRDefault="001F7FF8" w:rsidP="001F7FF8">
      <w:pPr>
        <w:numPr>
          <w:ilvl w:val="0"/>
          <w:numId w:val="1"/>
        </w:numPr>
      </w:pPr>
      <w:r w:rsidRPr="001F7FF8">
        <w:t xml:space="preserve">A.3.2.2 Authority Having Jurisdiction (AHJ). The phrase "authority having jurisdiction," or its acronym AHJ, is used in NFPA standards in a broad manner because jurisdictions and approval agencies vary, as do their responsibilities. Where public safety is primary, the authority having jurisdiction may be a federal, state, local, or other regional department or individual such as a fire chief, fire marshal, chief of a fire prevention bureau, labor department, or health department, building official, electrical inspector, or others having statutory authority. For insurance purposes, an insurance inspection department, rating bureau, or other </w:t>
      </w:r>
      <w:r w:rsidRPr="001F7FF8">
        <w:lastRenderedPageBreak/>
        <w:t>insurance company representative may be the authority having jurisdiction. In many circumstances, the property owner or his or her designated agent assumes the role of the authority having jurisdiction. At government installations, the commanding officer or departmental official may be the authority having jurisdiction.</w:t>
      </w:r>
    </w:p>
    <w:p w14:paraId="2A696663" w14:textId="77777777" w:rsidR="001F7FF8" w:rsidRPr="001F7FF8" w:rsidRDefault="001F7FF8" w:rsidP="001F7FF8">
      <w:pPr>
        <w:numPr>
          <w:ilvl w:val="0"/>
          <w:numId w:val="1"/>
        </w:numPr>
      </w:pPr>
      <w:r w:rsidRPr="001F7FF8">
        <w:t>A.3.2.4 Listed. The means for identifying listed equipment may vary for each organization concerned with product evaluation. Some organizations do not recognize equipment as listed unless it is also labeled. The authority having jurisdiction should utilize the system employed by the listing organization to identify a listed product.</w:t>
      </w:r>
    </w:p>
    <w:p w14:paraId="2889A527" w14:textId="77777777" w:rsidR="001F7FF8" w:rsidRPr="001F7FF8" w:rsidRDefault="001F7FF8" w:rsidP="001F7FF8">
      <w:pPr>
        <w:numPr>
          <w:ilvl w:val="0"/>
          <w:numId w:val="1"/>
        </w:numPr>
      </w:pPr>
      <w:r w:rsidRPr="001F7FF8">
        <w:t>A.3.3.4 Axle Height. A single or dual beam axle is measured at the lowest point of that beam axle at the spring location.</w:t>
      </w:r>
    </w:p>
    <w:p w14:paraId="4391A40E" w14:textId="77777777" w:rsidR="001F7FF8" w:rsidRPr="001F7FF8" w:rsidRDefault="001F7FF8" w:rsidP="001F7FF8">
      <w:pPr>
        <w:numPr>
          <w:ilvl w:val="0"/>
          <w:numId w:val="1"/>
        </w:numPr>
      </w:pPr>
      <w:r w:rsidRPr="001F7FF8">
        <w:t>A.3.3.7 Bias Ply Tire. Bias ply tires are identified with the construction designation "D" in the tire labeling nomenclature (e.g., ST225/75 D15).</w:t>
      </w:r>
    </w:p>
    <w:p w14:paraId="454F9396" w14:textId="77777777" w:rsidR="001F7FF8" w:rsidRPr="001F7FF8" w:rsidRDefault="001F7FF8" w:rsidP="001F7FF8">
      <w:pPr>
        <w:numPr>
          <w:ilvl w:val="0"/>
          <w:numId w:val="1"/>
        </w:numPr>
      </w:pPr>
      <w:r w:rsidRPr="001F7FF8">
        <w:t>A.3.3.32 Gross Trailer Area. In calculating the square footage, measurements should be taken on the exterior. Square footage includes all siding, corner trims, moldings, storage spaces, and areas enclosed by windows but not the roof overhangs (see HUD Interpretive Bulletin A-1-88). Expandable room sections, regardless of height, should be included. Storage lofts contained within the basic unit should have ceiling heights less than 5 ft (1.5 m) and would not constitute additional square footage.</w:t>
      </w:r>
    </w:p>
    <w:p w14:paraId="18DDCDEB" w14:textId="77777777" w:rsidR="001F7FF8" w:rsidRPr="001F7FF8" w:rsidRDefault="001F7FF8" w:rsidP="001F7FF8">
      <w:pPr>
        <w:numPr>
          <w:ilvl w:val="0"/>
          <w:numId w:val="1"/>
        </w:numPr>
      </w:pPr>
      <w:r w:rsidRPr="001F7FF8">
        <w:t>A.3.3.36 Interior Finish. Interior finish includes any material (e.g., paint, wallpaper, decorative panels) that is affixed to such surfaces.</w:t>
      </w:r>
    </w:p>
    <w:p w14:paraId="10315D7B" w14:textId="77777777" w:rsidR="001F7FF8" w:rsidRPr="001F7FF8" w:rsidRDefault="001F7FF8" w:rsidP="001F7FF8">
      <w:pPr>
        <w:numPr>
          <w:ilvl w:val="0"/>
          <w:numId w:val="1"/>
        </w:numPr>
      </w:pPr>
      <w:r w:rsidRPr="001F7FF8">
        <w:t>A.3.3.42 Pipe. An example of pipe is iron pipe.</w:t>
      </w:r>
    </w:p>
    <w:p w14:paraId="50DBF87F" w14:textId="77777777" w:rsidR="001F7FF8" w:rsidRPr="001F7FF8" w:rsidRDefault="001F7FF8" w:rsidP="001F7FF8">
      <w:pPr>
        <w:numPr>
          <w:ilvl w:val="0"/>
          <w:numId w:val="1"/>
        </w:numPr>
      </w:pPr>
      <w:r w:rsidRPr="001F7FF8">
        <w:t>A.3.3.43 Piping Systems. Examples of piping include iron pipe, hose, and copper tubing.</w:t>
      </w:r>
    </w:p>
    <w:p w14:paraId="21D8FE8C" w14:textId="77777777" w:rsidR="001F7FF8" w:rsidRPr="001F7FF8" w:rsidRDefault="001F7FF8" w:rsidP="001F7FF8">
      <w:pPr>
        <w:numPr>
          <w:ilvl w:val="0"/>
          <w:numId w:val="1"/>
        </w:numPr>
      </w:pPr>
      <w:r w:rsidRPr="001F7FF8">
        <w:t xml:space="preserve">A.3.3.46 Pressure Relief Valve. The term pressure relief valve also includes the following: (1) External Pressure Relief Valve. A pressure relief valve that is used on older domestic containers, on pressure relief valve manifolds, and for piping protection where all the working parts are located entirely outside the container or piping. (2) Flush-Type Full Internal Pressure Relief Valve. An internal pressure relief valve in which the wrenching section is also within the container connection, not including a small portion due to pipe thread tolerances on makeup. (3) Full Internal Pressure Relief Valve. A pressure relief valve, for engine fuel and mobile container use, in which all working parts are recessed within the container connection, and </w:t>
      </w:r>
      <w:r w:rsidRPr="001F7FF8">
        <w:lastRenderedPageBreak/>
        <w:t>the spring and guiding mechanism are not exposed to the atmosphere. (4) Internal Spring Pressure Relief Valve. A pressure relief valve in which only the spring and guiding mechanism are located inside the container or piping.</w:t>
      </w:r>
    </w:p>
    <w:p w14:paraId="1CAA159B" w14:textId="77777777" w:rsidR="001F7FF8" w:rsidRPr="001F7FF8" w:rsidRDefault="001F7FF8" w:rsidP="001F7FF8">
      <w:pPr>
        <w:numPr>
          <w:ilvl w:val="0"/>
          <w:numId w:val="1"/>
        </w:numPr>
      </w:pPr>
      <w:r w:rsidRPr="001F7FF8">
        <w:t>A.6.4.5.1 Figure A.6.4.5.1 is useful in explaining the method of measuring the alternate exit in 6.4.5.</w:t>
      </w:r>
    </w:p>
    <w:p w14:paraId="440B9F7E" w14:textId="77777777" w:rsidR="001F7FF8" w:rsidRPr="001F7FF8" w:rsidRDefault="001F7FF8" w:rsidP="001F7FF8">
      <w:pPr>
        <w:numPr>
          <w:ilvl w:val="0"/>
          <w:numId w:val="1"/>
        </w:numPr>
      </w:pPr>
      <w:r w:rsidRPr="001F7FF8">
        <w:t>A.6.9.7.4 Examples of fuel type identifications are "Gasoline Only" or "Diesel Only."</w:t>
      </w:r>
    </w:p>
    <w:p w14:paraId="0CF289DB" w14:textId="77777777" w:rsidR="001F7FF8" w:rsidRPr="001F7FF8" w:rsidRDefault="001F7FF8" w:rsidP="001F7FF8">
      <w:pPr>
        <w:numPr>
          <w:ilvl w:val="0"/>
          <w:numId w:val="1"/>
        </w:numPr>
      </w:pPr>
      <w:r w:rsidRPr="001F7FF8">
        <w:t>A.7.1.6.3 Extendable components include power supply assemblies.</w:t>
      </w:r>
    </w:p>
    <w:p w14:paraId="4F9F4B4F" w14:textId="77777777" w:rsidR="001F7FF8" w:rsidRPr="001F7FF8" w:rsidRDefault="001F7FF8" w:rsidP="001F7FF8">
      <w:pPr>
        <w:numPr>
          <w:ilvl w:val="0"/>
          <w:numId w:val="1"/>
        </w:numPr>
      </w:pPr>
      <w:r w:rsidRPr="001F7FF8">
        <w:t xml:space="preserve">A.7.2.7.5 To disinfect the potable water system, it is recommended that the following procedures be followed on a new system, one that has not been used for a period of time, or one that could have become contaminated. This procedure is also recommended before long periods of storage such as over winter. (1) Prepare a chlorine solution using 1 gal. (3.8 L) of water and 1/4 cup (60 ml) household bleach (sodium hypochlorite solution). With tank empty, pour chlorine solution into the tank. Use 1 gal. (3.8 L) solution for each 15 gal (57 L) of tank capacity. This procedure will result in a residual chlorine concentration of 50 ppm in the water system. (2) If a </w:t>
      </w:r>
      <w:proofErr w:type="gramStart"/>
      <w:r w:rsidRPr="001F7FF8">
        <w:t>100 ppm</w:t>
      </w:r>
      <w:proofErr w:type="gramEnd"/>
      <w:r w:rsidRPr="001F7FF8">
        <w:t xml:space="preserve"> concentration is required, as discussed in A.7.2.7.5(3), use 1/2 cup of household bleach with 1 gal. of water to prepare the chlorine solution. Use 1 gal. of the solution for each 15 gal. of tank capacity. (3) Complete filling of tank with potable water. Open each faucet and run the water until a distinct odor of chlorine can be detected in the water discharged. Do not forget the hot water taps. (4) Allow the system to stand for at least 4 hours when disinfecting with 50 ppm residual chlorine. If a shorter time period is desired, a </w:t>
      </w:r>
      <w:proofErr w:type="gramStart"/>
      <w:r w:rsidRPr="001F7FF8">
        <w:t>100 ppm</w:t>
      </w:r>
      <w:proofErr w:type="gramEnd"/>
      <w:r w:rsidRPr="001F7FF8">
        <w:t xml:space="preserve"> chlorine concentration should be permitted to stand in the system for at least 1 hour. (5) Drain and flush with potable water.</w:t>
      </w:r>
    </w:p>
    <w:p w14:paraId="2D18EABF" w14:textId="77777777" w:rsidR="001F7FF8" w:rsidRPr="001F7FF8" w:rsidRDefault="001F7FF8" w:rsidP="001F7FF8">
      <w:pPr>
        <w:numPr>
          <w:ilvl w:val="0"/>
          <w:numId w:val="1"/>
        </w:numPr>
      </w:pPr>
      <w:r w:rsidRPr="001F7FF8">
        <w:t>A.8.1.1.1 See SAE J684, Table 1.</w:t>
      </w:r>
    </w:p>
    <w:p w14:paraId="2FF25B15" w14:textId="77777777" w:rsidR="001F7FF8" w:rsidRPr="001F7FF8" w:rsidRDefault="001F7FF8" w:rsidP="001F7FF8">
      <w:pPr>
        <w:numPr>
          <w:ilvl w:val="0"/>
          <w:numId w:val="1"/>
        </w:numPr>
      </w:pPr>
      <w:r w:rsidRPr="001F7FF8">
        <w:t>A.8.1.2.2 Figure A.8.1.2.2 shows the method to determine the shortest allowable tongue or A-frame.</w:t>
      </w:r>
    </w:p>
    <w:p w14:paraId="7F9D0938" w14:textId="77777777" w:rsidR="001F7FF8" w:rsidRPr="001F7FF8" w:rsidRDefault="001F7FF8" w:rsidP="001F7FF8">
      <w:pPr>
        <w:numPr>
          <w:ilvl w:val="0"/>
          <w:numId w:val="1"/>
        </w:numPr>
      </w:pPr>
      <w:r w:rsidRPr="001F7FF8">
        <w:t>A.8.3.1.4 Where a breakaway switch and safety chains or cables are provided on the same unit, care should be taken to make sure that the breakaway switch-actuating cable will not operate the switch until the trailer completely separates from the towing vehicle. This includes failure and disengagement of the hitch mechanism and safety chains or cables and makes sure that normal brake control is maintained until complete separation. The power source for the breakaway device can be the same battery that is used to power the interior 12 V circuits.</w:t>
      </w:r>
    </w:p>
    <w:p w14:paraId="50754572" w14:textId="77777777" w:rsidR="001F7FF8" w:rsidRDefault="001F7FF8"/>
    <w:sectPr w:rsidR="001F7F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F87806"/>
    <w:multiLevelType w:val="multilevel"/>
    <w:tmpl w:val="ABA8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501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FF8"/>
    <w:rsid w:val="001F7FF8"/>
    <w:rsid w:val="00DA3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2AC93"/>
  <w15:chartTrackingRefBased/>
  <w15:docId w15:val="{BAED8B6A-DE86-46C6-A38D-ABA315AC4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F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7F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7F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7F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7F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7F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F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F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F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F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7F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7F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7F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7F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7F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F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F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FF8"/>
    <w:rPr>
      <w:rFonts w:eastAsiaTheme="majorEastAsia" w:cstheme="majorBidi"/>
      <w:color w:val="272727" w:themeColor="text1" w:themeTint="D8"/>
    </w:rPr>
  </w:style>
  <w:style w:type="paragraph" w:styleId="Title">
    <w:name w:val="Title"/>
    <w:basedOn w:val="Normal"/>
    <w:next w:val="Normal"/>
    <w:link w:val="TitleChar"/>
    <w:uiPriority w:val="10"/>
    <w:qFormat/>
    <w:rsid w:val="001F7F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F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F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F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FF8"/>
    <w:pPr>
      <w:spacing w:before="160"/>
      <w:jc w:val="center"/>
    </w:pPr>
    <w:rPr>
      <w:i/>
      <w:iCs/>
      <w:color w:val="404040" w:themeColor="text1" w:themeTint="BF"/>
    </w:rPr>
  </w:style>
  <w:style w:type="character" w:customStyle="1" w:styleId="QuoteChar">
    <w:name w:val="Quote Char"/>
    <w:basedOn w:val="DefaultParagraphFont"/>
    <w:link w:val="Quote"/>
    <w:uiPriority w:val="29"/>
    <w:rsid w:val="001F7FF8"/>
    <w:rPr>
      <w:i/>
      <w:iCs/>
      <w:color w:val="404040" w:themeColor="text1" w:themeTint="BF"/>
    </w:rPr>
  </w:style>
  <w:style w:type="paragraph" w:styleId="ListParagraph">
    <w:name w:val="List Paragraph"/>
    <w:basedOn w:val="Normal"/>
    <w:uiPriority w:val="34"/>
    <w:qFormat/>
    <w:rsid w:val="001F7FF8"/>
    <w:pPr>
      <w:ind w:left="720"/>
      <w:contextualSpacing/>
    </w:pPr>
  </w:style>
  <w:style w:type="character" w:styleId="IntenseEmphasis">
    <w:name w:val="Intense Emphasis"/>
    <w:basedOn w:val="DefaultParagraphFont"/>
    <w:uiPriority w:val="21"/>
    <w:qFormat/>
    <w:rsid w:val="001F7FF8"/>
    <w:rPr>
      <w:i/>
      <w:iCs/>
      <w:color w:val="0F4761" w:themeColor="accent1" w:themeShade="BF"/>
    </w:rPr>
  </w:style>
  <w:style w:type="paragraph" w:styleId="IntenseQuote">
    <w:name w:val="Intense Quote"/>
    <w:basedOn w:val="Normal"/>
    <w:next w:val="Normal"/>
    <w:link w:val="IntenseQuoteChar"/>
    <w:uiPriority w:val="30"/>
    <w:qFormat/>
    <w:rsid w:val="001F7F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FF8"/>
    <w:rPr>
      <w:i/>
      <w:iCs/>
      <w:color w:val="0F4761" w:themeColor="accent1" w:themeShade="BF"/>
    </w:rPr>
  </w:style>
  <w:style w:type="character" w:styleId="IntenseReference">
    <w:name w:val="Intense Reference"/>
    <w:basedOn w:val="DefaultParagraphFont"/>
    <w:uiPriority w:val="32"/>
    <w:qFormat/>
    <w:rsid w:val="001F7F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702872">
      <w:bodyDiv w:val="1"/>
      <w:marLeft w:val="0"/>
      <w:marRight w:val="0"/>
      <w:marTop w:val="0"/>
      <w:marBottom w:val="0"/>
      <w:divBdr>
        <w:top w:val="none" w:sz="0" w:space="0" w:color="auto"/>
        <w:left w:val="none" w:sz="0" w:space="0" w:color="auto"/>
        <w:bottom w:val="none" w:sz="0" w:space="0" w:color="auto"/>
        <w:right w:val="none" w:sz="0" w:space="0" w:color="auto"/>
      </w:divBdr>
    </w:div>
    <w:div w:id="1937859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1136</Words>
  <Characters>6479</Characters>
  <Application>Microsoft Office Word</Application>
  <DocSecurity>0</DocSecurity>
  <Lines>53</Lines>
  <Paragraphs>15</Paragraphs>
  <ScaleCrop>false</ScaleCrop>
  <Company/>
  <LinksUpToDate>false</LinksUpToDate>
  <CharactersWithSpaces>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Ouellette</dc:creator>
  <cp:keywords/>
  <dc:description/>
  <cp:lastModifiedBy>Ryan Ouellette</cp:lastModifiedBy>
  <cp:revision>1</cp:revision>
  <dcterms:created xsi:type="dcterms:W3CDTF">2026-03-19T00:41:00Z</dcterms:created>
  <dcterms:modified xsi:type="dcterms:W3CDTF">2026-03-19T00:43:00Z</dcterms:modified>
</cp:coreProperties>
</file>