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Shiny Pokemon:</w:t>
      </w:r>
    </w:p>
    <w:p w:rsidR="00000000" w:rsidDel="00000000" w:rsidP="00000000" w:rsidRDefault="00000000" w:rsidRPr="00000000" w14:paraId="00000002">
      <w:pPr>
        <w:numPr>
          <w:ilvl w:val="0"/>
          <w:numId w:val="6"/>
        </w:numPr>
        <w:ind w:left="720" w:hanging="360"/>
      </w:pPr>
      <w:r w:rsidDel="00000000" w:rsidR="00000000" w:rsidRPr="00000000">
        <w:rPr>
          <w:rtl w:val="0"/>
        </w:rPr>
        <w:t xml:space="preserve">are extremely rare Pokémon that differ in coloration from their regular appearance. These color variations may range from minor hue adjustments to completely altered palettes. Only one shiny variation exists for each Pokémon.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Shiny Pokémon are shown in their regular coloration until they appear on the encounter screen or on the summary page, where they have an aura of stars around them, a shiny tab shown above the CP and their different coloration is visible.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in-game RNG determines if wild-spawned and Raid Pokémon are Shiny for each player's instance separately; thus a Shiny Pokémon from the same spawn point may not, and most likely will not, appear shiny to other Trainers.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Once a player captures 10 Shiny (non-Shadow) Pokémon, they will unlock the Shiny Pokédex so they can see each entry of Shiny Pokémon they have seen/caught. Shiny Shadow Pokémon are registered to the Shadow Pokédex, which has additional switch buttons for shiny forms for eligible Pokédex entries.</w:t>
        <w:tab/>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Shadow Pokémon can only be shiny if they have been available from the three Rocket Leaders or Jessie and James at any point, or if they are in Shadow Legendary Raid Battles. Those obtained from Giovanni cannot be shiny.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Odds of a shiny pokemon:</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According to the latest research conducted by TheSilphRoad[1], there are several likely categories that determine the odds of a Pokémon being Shiny.</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Note: the following numbers are from their most recent estimates.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Base rate: 1/512-500 (0.2%)</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Medium Event: 1/128-125 (0.8%)</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Permaboost: 1/64-62.5 (1.6%)</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Raid/Egg (if different from Permaboost): 1/56.9-1/50 (2%)</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Community Day: 1/25.6-1/25 (4%)</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Legendary Raid: 1/20.48-1/20 (5%)</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Raid Event: 1/10.24-1/10 (10%)</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Facts: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Normally, evolved stages of Pokémon cannot be shiny in the encounter screen, including Pokémon evolved from Baby Pokémon (except Pikachu, Chansey, Mr. Mime and Roselia). As a result, evolved shiny Pokémon can only obtained by evolution. The exceptions are as follows:</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Nidorina and Nidoqueen in Female Day;</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Gengar and Kanto starters in Special Raid Challenge;</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Most Event Pokémon (with the exception of Meloetta-hat Gardevoir and Flygon);</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Gyarados in Lunar New Year 2020;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