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60"/>
        <w:jc w:val="center"/>
      </w:pPr>
      <w:r>
        <w:rPr>
          <w:rFonts w:ascii="游ゴシック" w:cs="游ゴシック" w:eastAsia="游ゴシック" w:hAnsi="游ゴシック"/>
          <w:b/>
          <w:bCs/>
          <w:color w:val="000000"/>
          <w:spacing w:val="80"/>
          <w:sz w:val="36"/>
          <w:szCs w:val="36"/>
        </w:rPr>
        <w:t xml:space="preserve">御 見 積 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100"/>
            </w:pPr>
            <w:r>
              <w:rPr>
                <w:rFonts w:ascii="游ゴシック" w:cs="游ゴシック" w:eastAsia="游ゴシック" w:hAnsi="游ゴシック"/>
                <w:b/>
                <w:bCs/>
                <w:sz w:val="26"/>
                <w:szCs w:val="26"/>
              </w:rPr>
              <w:t xml:space="preserve">株式会社グッド保険サービス  御中</w:t>
            </w:r>
          </w:p>
          <w:p>
            <w:pPr>
              <w:spacing w:after="20"/>
            </w:pPr>
            <w:r>
              <w:rPr>
                <w:rFonts w:ascii="游ゴシック" w:cs="游ゴシック" w:eastAsia="游ゴシック" w:hAnsi="游ゴシック"/>
                <w:color w:val="595959"/>
                <w:sz w:val="16"/>
                <w:szCs w:val="16"/>
              </w:rPr>
              <w:t xml:space="preserve">〒XXX-XXXX</w:t>
            </w:r>
          </w:p>
          <w:p>
            <w:pPr>
              <w:spacing w:after="20"/>
            </w:pPr>
            <w:r>
              <w:rPr>
                <w:rFonts w:ascii="游ゴシック" w:cs="游ゴシック" w:eastAsia="游ゴシック" w:hAnsi="游ゴシック"/>
                <w:color w:val="595959"/>
                <w:sz w:val="16"/>
                <w:szCs w:val="16"/>
              </w:rPr>
              <w:t xml:space="preserve">東京都〇〇区〇〇  〇-〇-〇</w:t>
            </w:r>
          </w:p>
          <w:p>
            <w:pPr>
              <w:spacing w:after="220"/>
            </w:pPr>
            <w:r>
              <w:rPr>
                <w:rFonts w:ascii="游ゴシック" w:cs="游ゴシック" w:eastAsia="游ゴシック" w:hAnsi="游ゴシック"/>
                <w:color w:val="595959"/>
                <w:sz w:val="16"/>
                <w:szCs w:val="16"/>
              </w:rPr>
              <w:t xml:space="preserve">〇〇ビル〇階</w:t>
            </w:r>
          </w:p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専務取締役  伊藤  様</w:t>
            </w:r>
          </w:p>
        </w:tc>
        <w:tc>
          <w:tcPr>
            <w:tcW w:type="dxa" w:w="3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tbl>
            <w:tblPr>
              <w:tblW w:type="dxa" w:w="3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2326"/>
            </w:tblGrid>
            <w:tr>
              <w:trPr>
                <w:trHeight w:val="360" w:hRule="exac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見積日</w:t>
                  </w:r>
                </w:p>
              </w:tc>
              <w:tc>
                <w:tcPr>
                  <w:tcW w:type="dxa" w:w="23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2026年5月20日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見積書番号</w:t>
                  </w:r>
                </w:p>
              </w:tc>
              <w:tc>
                <w:tcPr>
                  <w:tcW w:type="dxa" w:w="23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Q-2026-0001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有効期限</w:t>
                  </w:r>
                </w:p>
              </w:tc>
              <w:tc>
                <w:tcPr>
                  <w:tcW w:type="dxa" w:w="23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発行日より3ヶ月</w:t>
                  </w:r>
                </w:p>
              </w:tc>
            </w:tr>
          </w:tbl>
          <w:p>
            <w:pPr>
              <w:spacing w:before="240"/>
            </w:pPr>
            <w:r>
              <w:rPr>
                <w:rFonts w:ascii="游ゴシック" w:cs="游ゴシック" w:eastAsia="游ゴシック" w:hAnsi="游ゴシック"/>
              </w:rPr>
              <w:t xml:space="preserve"/>
            </w:r>
          </w:p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株式会社エキセントリック</w:t>
            </w:r>
          </w:p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代表取締役  長谷川  遼</w:t>
            </w:r>
          </w:p>
          <w:p>
            <w:pPr>
              <w:spacing w:after="30"/>
            </w:pPr>
            <w:r>
              <w:rPr>
                <w:rFonts w:ascii="游ゴシック" w:cs="游ゴシック" w:eastAsia="游ゴシック" w:hAnsi="游ゴシック"/>
                <w:color w:val="595959"/>
                <w:sz w:val="14"/>
                <w:szCs w:val="14"/>
              </w:rPr>
              <w:t xml:space="preserve">〒231-XXXX</w:t>
            </w:r>
          </w:p>
          <w:p>
            <w:pPr>
              <w:spacing w:after="30"/>
            </w:pPr>
            <w:r>
              <w:rPr>
                <w:rFonts w:ascii="游ゴシック" w:cs="游ゴシック" w:eastAsia="游ゴシック" w:hAnsi="游ゴシック"/>
                <w:color w:val="595959"/>
                <w:sz w:val="14"/>
                <w:szCs w:val="14"/>
              </w:rPr>
              <w:t xml:space="preserve">神奈川県横浜市中区吉田町11-2-203</w:t>
            </w:r>
          </w:p>
          <w:p>
            <w:pPr>
              <w:spacing w:after="30"/>
            </w:pPr>
            <w:r>
              <w:rPr>
                <w:rFonts w:ascii="游ゴシック" w:cs="游ゴシック" w:eastAsia="游ゴシック" w:hAnsi="游ゴシック"/>
                <w:color w:val="595959"/>
                <w:sz w:val="14"/>
                <w:szCs w:val="14"/>
              </w:rPr>
              <w:t xml:space="preserve">Mobile: 090-8684-3615</w:t>
            </w:r>
          </w:p>
          <w:p>
            <w:pPr>
              <w:spacing w:after="30"/>
            </w:pPr>
            <w:r>
              <w:rPr>
                <w:rFonts w:ascii="游ゴシック" w:cs="游ゴシック" w:eastAsia="游ゴシック" w:hAnsi="游ゴシック"/>
                <w:color w:val="595959"/>
                <w:sz w:val="14"/>
                <w:szCs w:val="14"/>
              </w:rPr>
              <w:t xml:space="preserve">Mail: r.hasegawa@ec-centric.com</w:t>
            </w:r>
          </w:p>
        </w:tc>
      </w:tr>
    </w:tbl>
    <w:p>
      <w:pPr>
        <w:spacing w:after="160" w:before="320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下記の通り御見積申し上げます。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595959"/>
                <w:sz w:val="20"/>
                <w:szCs w:val="20"/>
              </w:rPr>
              <w:t xml:space="preserve">件名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AI問い合わせ対応導入業務 一式（HPチャットbot構築・Phase A〜D / 6ヶ月）</w:t>
            </w:r>
          </w:p>
        </w:tc>
      </w:tr>
    </w:tbl>
    <w:p>
      <w:pPr>
        <w:spacing w:after="80" w:before="80"/>
      </w:pPr>
      <w:r>
        <w:rPr>
          <w:rFonts w:ascii="游ゴシック" w:cs="游ゴシック" w:eastAsia="游ゴシック" w:hAnsi="游ゴシック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rHeight w:val="380" w:hRule="exac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595959"/>
                <w:sz w:val="18"/>
                <w:szCs w:val="18"/>
              </w:rPr>
              <w:t xml:space="preserve">小計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595959"/>
                <w:sz w:val="18"/>
                <w:szCs w:val="18"/>
              </w:rPr>
              <w:t xml:space="preserve">消費税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595959"/>
                <w:sz w:val="18"/>
                <w:szCs w:val="18"/>
              </w:rPr>
              <w:t xml:space="preserve">見積金額</w:t>
            </w:r>
          </w:p>
        </w:tc>
      </w:tr>
      <w:tr>
        <w:trPr>
          <w:trHeight w:val="720" w:hRule="exac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2"/>
                <w:szCs w:val="22"/>
              </w:rPr>
              <w:t xml:space="preserve">1,280,000円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2"/>
                <w:szCs w:val="22"/>
              </w:rPr>
              <w:t xml:space="preserve">128,000円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40"/>
                <w:szCs w:val="40"/>
              </w:rPr>
              <w:t xml:space="preserve">1,408,000円</w:t>
            </w:r>
          </w:p>
        </w:tc>
      </w:tr>
    </w:tbl>
    <w:p>
      <w:pPr>
        <w:spacing w:after="60" w:before="120"/>
      </w:pPr>
      <w:r>
        <w:rPr>
          <w:rFonts w:ascii="游ゴシック" w:cs="游ゴシック" w:eastAsia="游ゴシック" w:hAnsi="游ゴシック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1200"/>
        <w:gridCol w:w="1500"/>
        <w:gridCol w:w="1700"/>
      </w:tblGrid>
      <w:tr>
        <w:trPr>
          <w:tblHeader/>
          <w:trHeight w:val="360" w:hRule="exact"/>
        </w:trPr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8"/>
                <w:szCs w:val="18"/>
              </w:rPr>
              <w:t xml:space="preserve">摘要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8"/>
                <w:szCs w:val="18"/>
              </w:rPr>
              <w:t xml:space="preserve">数量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8"/>
                <w:szCs w:val="18"/>
              </w:rPr>
              <w:t xml:space="preserve">単価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8"/>
                <w:szCs w:val="18"/>
              </w:rPr>
              <w:t xml:space="preserve">明細金額</w:t>
            </w:r>
          </w:p>
        </w:tc>
      </w:tr>
      <w:tr>
        <w:trPr>
          <w:trHeight w:val="320" w:hRule="exact"/>
        </w:trPr>
        <w:tc>
          <w:tcPr>
            <w:tcW w:type="dxa" w:w="902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8"/>
                <w:szCs w:val="18"/>
              </w:rPr>
              <w:t xml:space="preserve">【Phase A】1週間 問い合わせ分析 ※今回ご契約範囲</w:t>
            </w:r>
          </w:p>
        </w:tc>
      </w:tr>
      <w:tr>
        <w:trPr>
          <w:trHeight w:val="340" w:hRule="exact"/>
        </w:trPr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24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問い合わせ内容のヒアリング・分類設計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1 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30,000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30,000</w:t>
            </w:r>
          </w:p>
        </w:tc>
      </w:tr>
      <w:tr>
        <w:trPr>
          <w:trHeight w:val="340" w:hRule="exact"/>
        </w:trPr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24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FAQ化可能率の測定・可視化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1 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30,000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30,000</w:t>
            </w:r>
          </w:p>
        </w:tc>
      </w:tr>
      <w:tr>
        <w:trPr>
          <w:trHeight w:val="340" w:hRule="exact"/>
        </w:trPr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24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保険業務特有の危険回答 設計指針策定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1 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30,000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30,000</w:t>
            </w:r>
          </w:p>
        </w:tc>
      </w:tr>
      <w:tr>
        <w:trPr>
          <w:trHeight w:val="340" w:hRule="exact"/>
        </w:trPr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24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チャットbot対象範囲・優先順位の確定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1 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20,000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20,000</w:t>
            </w:r>
          </w:p>
        </w:tc>
      </w:tr>
      <w:tr>
        <w:trPr>
          <w:trHeight w:val="340" w:hRule="exact"/>
        </w:trPr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24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Phase B 本開発の正式見積算出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1 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20,000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20,000</w:t>
            </w:r>
          </w:p>
        </w:tc>
      </w:tr>
      <w:tr>
        <w:trPr>
          <w:trHeight w:val="340" w:hRule="exact"/>
        </w:trPr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24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分析レポート作成・ご報告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1 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20,000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20,000</w:t>
            </w:r>
          </w:p>
        </w:tc>
      </w:tr>
      <w:tr>
        <w:trPr>
          <w:trHeight w:val="320" w:hRule="exact"/>
        </w:trPr>
        <w:tc>
          <w:tcPr>
            <w:tcW w:type="dxa" w:w="732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60"/>
              <w:bottom w:type="dxa" w:w="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color w:val="595959"/>
                <w:sz w:val="16"/>
                <w:szCs w:val="16"/>
              </w:rPr>
              <w:t xml:space="preserve">Phase A 小計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8"/>
                <w:szCs w:val="18"/>
              </w:rPr>
              <w:t xml:space="preserve">150,000</w:t>
            </w:r>
          </w:p>
        </w:tc>
      </w:tr>
      <w:tr>
        <w:trPr>
          <w:trHeight w:val="320" w:hRule="exact"/>
        </w:trPr>
        <w:tc>
          <w:tcPr>
            <w:tcW w:type="dxa" w:w="902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8"/>
                <w:szCs w:val="18"/>
              </w:rPr>
              <w:t xml:space="preserve">【Phase B】本開発（チャットbot構築・納品）※Phase A 後に正式見積</w:t>
            </w:r>
          </w:p>
        </w:tc>
      </w:tr>
      <w:tr>
        <w:trPr>
          <w:trHeight w:val="340" w:hRule="exact"/>
        </w:trPr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24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チャットbot本体構築（RAG + 標準UI）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1 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400,000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400,000</w:t>
            </w:r>
          </w:p>
        </w:tc>
      </w:tr>
      <w:tr>
        <w:trPr>
          <w:trHeight w:val="340" w:hRule="exact"/>
        </w:trPr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24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RAG用ナレッジデータ構築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1 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200,000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200,000</w:t>
            </w:r>
          </w:p>
        </w:tc>
      </w:tr>
      <w:tr>
        <w:trPr>
          <w:trHeight w:val="340" w:hRule="exact"/>
        </w:trPr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24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初期FAQ設計・有人連携実装・テスト・納品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1 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50,000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50,000</w:t>
            </w:r>
          </w:p>
        </w:tc>
      </w:tr>
      <w:tr>
        <w:trPr>
          <w:trHeight w:val="320" w:hRule="exact"/>
        </w:trPr>
        <w:tc>
          <w:tcPr>
            <w:tcW w:type="dxa" w:w="732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60"/>
              <w:bottom w:type="dxa" w:w="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color w:val="595959"/>
                <w:sz w:val="16"/>
                <w:szCs w:val="16"/>
              </w:rPr>
              <w:t xml:space="preserve">Phase B 小計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8"/>
                <w:szCs w:val="18"/>
              </w:rPr>
              <w:t xml:space="preserve">650,000</w:t>
            </w:r>
          </w:p>
        </w:tc>
      </w:tr>
      <w:tr>
        <w:trPr>
          <w:trHeight w:val="320" w:hRule="exact"/>
        </w:trPr>
        <w:tc>
          <w:tcPr>
            <w:tcW w:type="dxa" w:w="902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8"/>
                <w:szCs w:val="18"/>
              </w:rPr>
              <w:t xml:space="preserve">【Phase C】テスト運用 月額 × 3ヶ月（納品後3ヶ月）</w:t>
            </w:r>
          </w:p>
        </w:tc>
      </w:tr>
      <w:tr>
        <w:trPr>
          <w:trHeight w:val="340" w:hRule="exact"/>
        </w:trPr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24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ログ確認・FAQ調整・精度改善・モデル選定検証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3 ヶ月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60,000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180,000</w:t>
            </w:r>
          </w:p>
        </w:tc>
      </w:tr>
      <w:tr>
        <w:trPr>
          <w:trHeight w:val="320" w:hRule="exact"/>
        </w:trPr>
        <w:tc>
          <w:tcPr>
            <w:tcW w:type="dxa" w:w="732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60"/>
              <w:bottom w:type="dxa" w:w="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color w:val="595959"/>
                <w:sz w:val="16"/>
                <w:szCs w:val="16"/>
              </w:rPr>
              <w:t xml:space="preserve">Phase C 小計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8"/>
                <w:szCs w:val="18"/>
              </w:rPr>
              <w:t xml:space="preserve">180,000</w:t>
            </w:r>
          </w:p>
        </w:tc>
      </w:tr>
      <w:tr>
        <w:trPr>
          <w:trHeight w:val="320" w:hRule="exact"/>
        </w:trPr>
        <w:tc>
          <w:tcPr>
            <w:tcW w:type="dxa" w:w="902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8"/>
                <w:szCs w:val="18"/>
              </w:rPr>
              <w:t xml:space="preserve">【Phase D】継続運用 月額 × 3ヶ月（4〜6ヶ月目）</w:t>
            </w:r>
          </w:p>
        </w:tc>
      </w:tr>
      <w:tr>
        <w:trPr>
          <w:trHeight w:val="340" w:hRule="exact"/>
        </w:trPr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24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月次分析・精度改善・FAQ追加・レポート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3 ヶ月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100,000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300,000</w:t>
            </w:r>
          </w:p>
        </w:tc>
      </w:tr>
      <w:tr>
        <w:trPr>
          <w:trHeight w:val="320" w:hRule="exact"/>
        </w:trPr>
        <w:tc>
          <w:tcPr>
            <w:tcW w:type="dxa" w:w="732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60"/>
              <w:bottom w:type="dxa" w:w="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color w:val="595959"/>
                <w:sz w:val="16"/>
                <w:szCs w:val="16"/>
              </w:rPr>
              <w:t xml:space="preserve">Phase D 小計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8"/>
                <w:szCs w:val="18"/>
              </w:rPr>
              <w:t xml:space="preserve">300,000</w:t>
            </w:r>
          </w:p>
        </w:tc>
      </w:tr>
      <w:tr>
        <w:trPr>
          <w:trHeight w:val="400" w:hRule="exact"/>
        </w:trPr>
        <w:tc>
          <w:tcPr>
            <w:tcW w:type="dxa" w:w="732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80"/>
              <w:left w:type="dxa" w:w="160"/>
              <w:bottom w:type="dxa" w:w="8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合計（税抜）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80"/>
              <w:left w:type="dxa" w:w="80"/>
              <w:bottom w:type="dxa" w:w="8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2"/>
                <w:szCs w:val="22"/>
              </w:rPr>
              <w:t xml:space="preserve">1,280,000</w:t>
            </w:r>
          </w:p>
        </w:tc>
      </w:tr>
    </w:tbl>
    <w:p>
      <w:pPr>
        <w:spacing w:after="60" w:before="200"/>
      </w:pPr>
      <w:r>
        <w:rPr>
          <w:rFonts w:ascii="游ゴシック" w:cs="游ゴシック" w:eastAsia="游ゴシック" w:hAnsi="游ゴシック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1200"/>
        <w:gridCol w:w="1500"/>
        <w:gridCol w:w="1700"/>
      </w:tblGrid>
      <w:tr>
        <w:trPr>
          <w:trHeight w:val="320" w:hRule="exact"/>
        </w:trPr>
        <w:tc>
          <w:tcPr>
            <w:tcW w:type="dxa" w:w="902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18"/>
                <w:szCs w:val="18"/>
              </w:rPr>
              <w:t xml:space="preserve">ご参考：オプション項目 ※本見積金額には含みません</w:t>
            </w:r>
          </w:p>
        </w:tc>
      </w:tr>
      <w:tr>
        <w:trPr>
          <w:trHeight w:val="340" w:hRule="exact"/>
        </w:trPr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24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595959"/>
                <w:sz w:val="18"/>
                <w:szCs w:val="18"/>
              </w:rPr>
              <w:t xml:space="preserve">オリジナルUI制作（テンプレートUIに代えてご指定の場合）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595959"/>
                <w:sz w:val="18"/>
                <w:szCs w:val="18"/>
              </w:rPr>
              <w:t xml:space="preserve">1 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595959"/>
                <w:sz w:val="18"/>
                <w:szCs w:val="18"/>
              </w:rPr>
              <w:t xml:space="preserve">150,000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595959"/>
                <w:sz w:val="18"/>
                <w:szCs w:val="18"/>
              </w:rPr>
              <w:t xml:space="preserve">150,000</w:t>
            </w:r>
          </w:p>
        </w:tc>
      </w:tr>
      <w:tr>
        <w:trPr>
          <w:trHeight w:val="340" w:hRule="exact"/>
        </w:trPr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24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595959"/>
                <w:sz w:val="18"/>
                <w:szCs w:val="18"/>
              </w:rPr>
              <w:t xml:space="preserve">AI利用料（OpenAI / Anthropic 等 API 実費 + 管理フィー）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595959"/>
                <w:sz w:val="18"/>
                <w:szCs w:val="18"/>
              </w:rPr>
              <w:t xml:space="preserve">実費精算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595959"/>
                <w:sz w:val="18"/>
                <w:szCs w:val="18"/>
              </w:rPr>
              <w:t xml:space="preserve">毎月請求</w:t>
            </w:r>
          </w:p>
        </w:tc>
      </w:tr>
      <w:tr>
        <w:trPr>
          <w:trHeight w:val="340" w:hRule="exact"/>
        </w:trPr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24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595959"/>
                <w:sz w:val="18"/>
                <w:szCs w:val="18"/>
              </w:rPr>
              <w:t xml:space="preserve">Phase E（7ヶ月目以降の継続運用）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595959"/>
                <w:sz w:val="18"/>
                <w:szCs w:val="18"/>
              </w:rPr>
              <w:t xml:space="preserve">別途見積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595959"/>
                <w:sz w:val="14"/>
                <w:szCs w:val="14"/>
              </w:rPr>
              <w:t xml:space="preserve">ライト／標準／伴走から選択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4200"/>
      </w:tblGrid>
      <w:tr>
        <w:tc>
          <w:tcPr>
            <w:tcW w:type="dxa" w:w="4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80"/>
              <w:right w:type="dxa" w:w="0"/>
            </w:tcMar>
          </w:tcPr>
          <w:tbl>
            <w:tblPr>
              <w:tblW w:type="dxa" w:w="4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3226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納品期限</w:t>
                  </w:r>
                </w:p>
              </w:tc>
              <w:tc>
                <w:tcPr>
                  <w:tcW w:type="dxa" w:w="32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Phase A 着手から約2.5ヶ月（Phase B 検収まで）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納品場所</w:t>
                  </w:r>
                </w:p>
              </w:tc>
              <w:tc>
                <w:tcPr>
                  <w:tcW w:type="dxa" w:w="32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別途協議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支払条件</w:t>
                  </w:r>
                </w:p>
              </w:tc>
              <w:tc>
                <w:tcPr>
                  <w:tcW w:type="dxa" w:w="32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Phase A 完了後一括 / Phase B 契約時50%・検収後50% / 月額分は当月末締 翌月末払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最低契約期間</w:t>
                  </w:r>
                </w:p>
              </w:tc>
              <w:tc>
                <w:tcPr>
                  <w:tcW w:type="dxa" w:w="32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6ヶ月（Phase B 完了後の運用期間として）</w:t>
                  </w:r>
                </w:p>
              </w:tc>
            </w:tr>
          </w:tbl>
          <w:p/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0"/>
              <w:right w:type="dxa" w:w="0"/>
            </w:tcMar>
          </w:tcPr>
          <w:tbl>
            <w:tblPr>
              <w:tblW w:type="dxa" w:w="4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2100"/>
            </w:tblGrid>
            <w:tr>
              <w:tc>
                <w:tcPr>
                  <w:tcW w:type="dxa" w:w="21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内訳</w:t>
                  </w:r>
                </w:p>
              </w:tc>
              <w:tc>
                <w:tcPr>
                  <w:tcW w:type="dxa" w:w="21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595959"/>
                      <w:sz w:val="16"/>
                      <w:szCs w:val="16"/>
                    </w:rPr>
                    <w:t xml:space="preserve">10%対象（税抜）</w:t>
                  </w:r>
                </w:p>
              </w:tc>
              <w:tc>
                <w:tcPr>
                  <w:tcW w:type="dxa" w:w="21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1,280,000円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595959"/>
                      <w:sz w:val="16"/>
                      <w:szCs w:val="16"/>
                    </w:rPr>
                    <w:t xml:space="preserve">10%消費税</w:t>
                  </w:r>
                </w:p>
              </w:tc>
              <w:tc>
                <w:tcPr>
                  <w:tcW w:type="dxa" w:w="21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游ゴシック" w:cs="游ゴシック" w:eastAsia="游ゴシック" w:hAnsi="游ゴシック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128,000円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rPr>
          <w:rFonts w:ascii="游ゴシック" w:cs="游ゴシック" w:eastAsia="游ゴシック" w:hAnsi="游ゴシック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游ゴシック" w:cs="游ゴシック" w:eastAsia="游ゴシック" w:hAnsi="游ゴシック"/>
                <w:color w:val="595959"/>
                <w:sz w:val="18"/>
                <w:szCs w:val="18"/>
              </w:rPr>
              <w:t xml:space="preserve">備考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游ゴシック" w:cs="游ゴシック" w:eastAsia="游ゴシック" w:hAnsi="游ゴシック"/>
                <w:sz w:val="16"/>
                <w:szCs w:val="16"/>
              </w:rPr>
              <w:t xml:space="preserve">本見積は AI問い合わせ対応導入業務 一式（Phase A〜D / 6ヶ月）に対するご提示です。Phase E（7ヶ月目以降の継続運用）は別途お見積いたします。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游ゴシック" w:cs="游ゴシック" w:eastAsia="游ゴシック" w:hAnsi="游ゴシック"/>
                <w:sz w:val="16"/>
                <w:szCs w:val="16"/>
              </w:rPr>
              <w:t xml:space="preserve">本契約は段階建付けです。Phase A（¥150,000 税抜）の完了をもって Phase B 以降に進むかをご判断いただき、Phase B 以降は Phase A の分析結果に基づき改めて正式見積書を発行いたします。Phase A 単独でご終了の場合、本見積の Phase B〜D は無効となります。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游ゴシック" w:cs="游ゴシック" w:eastAsia="游ゴシック" w:hAnsi="游ゴシック"/>
                <w:sz w:val="16"/>
                <w:szCs w:val="16"/>
              </w:rPr>
              <w:t xml:space="preserve">Phase B 本開発の検収基準は、合意したFAQ範囲の回答妥当率80%以上、危険回答（保険判断・引受可否・補償可否の断定）0件、有人引き継ぎ導線の正常動作、主要シナリオ20件のテストケース通過、を契約前に明文化いたしま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游ゴシック" w:cs="游ゴシック" w:eastAsia="游ゴシック" w:hAnsi="游ゴシック"/>
                <w:sz w:val="16"/>
                <w:szCs w:val="16"/>
              </w:rPr>
              <w:t xml:space="preserve">AI利用料（OpenAI / Anthropic 等の API 実費）は本見積に含まれず、実費に管理フィーを加算のうえ毎月請求書を添付します。利用量上限は事前にご相談のうえ設定します。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游ゴシック" w:cs="游ゴシック" w:eastAsia="游ゴシック" w:hAnsi="游ゴシック"/>
                <w:sz w:val="16"/>
                <w:szCs w:val="16"/>
              </w:rPr>
              <w:t xml:space="preserve">オリジナルUI制作（+¥150,000 税抜）はご希望時のみの追加項目です。デフォルトはテンプレートUIで本見積金額に含まれます。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游ゴシック" w:cs="游ゴシック" w:eastAsia="游ゴシック" w:hAnsi="游ゴシック"/>
                <w:sz w:val="16"/>
                <w:szCs w:val="16"/>
              </w:rPr>
              <w:t xml:space="preserve">サーバー・SaaS・電子契約・決済・送信等の外部サービス利用料は本見積に含まれず、貴社負担となります。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游ゴシック" w:cs="游ゴシック" w:eastAsia="游ゴシック" w:hAnsi="游ゴシック"/>
                <w:sz w:val="16"/>
                <w:szCs w:val="16"/>
              </w:rPr>
              <w:t xml:space="preserve">AIモデル提供事業者側の仕様変更・利用可能プラン・審査・検証環境・API仕様により、実装内容・開発期間・費用は変動する場合があります。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游ゴシック" w:cs="游ゴシック" w:eastAsia="游ゴシック" w:hAnsi="游ゴシック"/>
                <w:sz w:val="16"/>
                <w:szCs w:val="16"/>
              </w:rPr>
              <w:t xml:space="preserve">納品後の文言修正、FAQ追加、回答ルール変更、モデル切替等は、Phase C・D の月次対応範囲を超える場合は別途見積となります。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游ゴシック" w:cs="游ゴシック" w:eastAsia="游ゴシック" w:hAnsi="游ゴシック"/>
                <w:sz w:val="16"/>
                <w:szCs w:val="16"/>
              </w:rPr>
              <w:t xml:space="preserve">守秘義務契約（NDA）の締結が必要な場合は、Phase A 着手前に締結いたします。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游ゴシック" w:cs="游ゴシック" w:eastAsia="游ゴシック" w:hAnsi="游ゴシック"/>
                <w:sz w:val="16"/>
                <w:szCs w:val="16"/>
              </w:rPr>
              <w:t xml:space="preserve">本見積金額および表記は税抜・税込いずれの場合も特に断りのない限り日本円とし、消費税は別途申し受けます。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游ゴシック" w:cs="游ゴシック" w:eastAsia="游ゴシック" w:hAnsi="游ゴシック"/>
                <w:sz w:val="16"/>
                <w:szCs w:val="16"/>
              </w:rPr>
              <w:t xml:space="preserve">詳細はご提案資料および別途仕様書にてご案内いたします。</w:t>
            </w:r>
          </w:p>
        </w:tc>
      </w:tr>
    </w:tbl>
    <w:sectPr>
      <w:footerReference w:type="default" r:id="rId7"/>
      <w:pgSz w:w="11906" w:h="16838" w:orient="portrait"/>
      <w:pgMar w:top="11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40"/>
      <w:jc w:val="center"/>
    </w:pPr>
    <w:r>
      <w:rPr>
        <w:rFonts w:ascii="游ゴシック" w:cs="游ゴシック" w:eastAsia="游ゴシック" w:hAnsi="游ゴシック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 / </w:t>
    </w:r>
    <w:r>
      <w:rPr>
        <w:rFonts w:ascii="游ゴシック" w:cs="游ゴシック" w:eastAsia="游ゴシック" w:hAnsi="游ゴシック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御見積書 — AI問い合わせ対応導入業務 一式</dc:title>
  <dc:creator>株式会社エキセントリック</dc:creator>
  <cp:lastModifiedBy>Un-named</cp:lastModifiedBy>
  <cp:revision>1</cp:revision>
  <dcterms:created xsi:type="dcterms:W3CDTF">2026-05-20T01:56:47.400Z</dcterms:created>
  <dcterms:modified xsi:type="dcterms:W3CDTF">2026-05-20T01:56:47.401Z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