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F57" w:rsidRDefault="005A6C54" w:rsidP="005A6C54">
      <w:pPr>
        <w:jc w:val="left"/>
      </w:pPr>
      <w:bookmarkStart w:id="0" w:name="_GoBack"/>
      <w:bookmarkEnd w:id="0"/>
      <w:r>
        <w:rPr>
          <w:rFonts w:hint="eastAsia"/>
        </w:rPr>
        <w:t>2</w:t>
      </w:r>
      <w:r>
        <w:t>019</w:t>
      </w:r>
      <w:r>
        <w:rPr>
          <w:rFonts w:hint="eastAsia"/>
        </w:rPr>
        <w:t>年度事例研究レポート</w:t>
      </w:r>
    </w:p>
    <w:p w:rsidR="005A6C54" w:rsidRPr="005A6C54" w:rsidRDefault="005A6C54" w:rsidP="005A6C54">
      <w:pPr>
        <w:spacing w:beforeLines="50" w:before="180" w:afterLines="50" w:after="180" w:line="120" w:lineRule="auto"/>
        <w:jc w:val="center"/>
        <w:rPr>
          <w:b/>
          <w:sz w:val="28"/>
          <w:szCs w:val="28"/>
        </w:rPr>
      </w:pPr>
      <w:r w:rsidRPr="005A6C54">
        <w:rPr>
          <w:rFonts w:hint="eastAsia"/>
          <w:b/>
          <w:sz w:val="28"/>
          <w:szCs w:val="28"/>
        </w:rPr>
        <w:t>遺伝的アルゴリズムを用いた進化計算コンペレポート</w:t>
      </w:r>
    </w:p>
    <w:p w:rsidR="005A6C54" w:rsidRDefault="005A6C54" w:rsidP="005A6C54">
      <w:pPr>
        <w:wordWrap w:val="0"/>
        <w:spacing w:beforeLines="50" w:before="180" w:afterLines="50" w:after="180" w:line="120" w:lineRule="auto"/>
        <w:jc w:val="right"/>
        <w:rPr>
          <w:szCs w:val="21"/>
        </w:rPr>
      </w:pPr>
      <w:r>
        <w:rPr>
          <w:rFonts w:hint="eastAsia"/>
          <w:szCs w:val="21"/>
        </w:rPr>
        <w:t>学籍番号：1772064　氏名：西田　凌</w:t>
      </w:r>
    </w:p>
    <w:p w:rsidR="005A6C54" w:rsidRPr="001226D4" w:rsidRDefault="001226D4" w:rsidP="001226D4">
      <w:pPr>
        <w:pStyle w:val="a7"/>
        <w:numPr>
          <w:ilvl w:val="0"/>
          <w:numId w:val="1"/>
        </w:numPr>
        <w:ind w:leftChars="0"/>
        <w:jc w:val="left"/>
        <w:rPr>
          <w:b/>
          <w:szCs w:val="21"/>
        </w:rPr>
      </w:pPr>
      <w:r w:rsidRPr="001226D4">
        <w:rPr>
          <w:rFonts w:hint="eastAsia"/>
          <w:b/>
          <w:szCs w:val="21"/>
        </w:rPr>
        <w:t>はじめに</w:t>
      </w:r>
    </w:p>
    <w:p w:rsidR="001226D4" w:rsidRDefault="001226D4" w:rsidP="001226D4">
      <w:pPr>
        <w:pStyle w:val="a7"/>
        <w:ind w:leftChars="0" w:left="432"/>
        <w:jc w:val="left"/>
        <w:rPr>
          <w:szCs w:val="21"/>
        </w:rPr>
      </w:pPr>
    </w:p>
    <w:p w:rsidR="001226D4" w:rsidRDefault="001226D4" w:rsidP="001226D4">
      <w:pPr>
        <w:pStyle w:val="a7"/>
        <w:ind w:leftChars="0" w:left="432"/>
        <w:jc w:val="left"/>
        <w:rPr>
          <w:b/>
          <w:szCs w:val="21"/>
        </w:rPr>
        <w:sectPr w:rsidR="001226D4" w:rsidSect="007F337F">
          <w:footerReference w:type="default" r:id="rId7"/>
          <w:pgSz w:w="11906" w:h="16838"/>
          <w:pgMar w:top="1134" w:right="1134" w:bottom="1134" w:left="1134" w:header="851" w:footer="992" w:gutter="0"/>
          <w:cols w:space="425"/>
          <w:docGrid w:type="lines" w:linePitch="360"/>
        </w:sectPr>
      </w:pPr>
    </w:p>
    <w:p w:rsidR="00371500" w:rsidRDefault="001226D4" w:rsidP="00371500">
      <w:pPr>
        <w:pStyle w:val="a7"/>
        <w:ind w:leftChars="0" w:left="432" w:firstLineChars="100" w:firstLine="210"/>
        <w:jc w:val="left"/>
        <w:rPr>
          <w:szCs w:val="21"/>
        </w:rPr>
      </w:pPr>
      <w:r>
        <w:rPr>
          <w:rFonts w:hint="eastAsia"/>
          <w:szCs w:val="21"/>
        </w:rPr>
        <w:t>高齢者介護福祉サービス問題の解法としてハーモニーサーチによる手法が提案されているが、他の進化計算アルゴリズムに基づく手法は検討されていない。</w:t>
      </w:r>
    </w:p>
    <w:p w:rsidR="00371500" w:rsidRDefault="00371500" w:rsidP="00371500">
      <w:pPr>
        <w:pStyle w:val="a7"/>
        <w:ind w:leftChars="0" w:left="432" w:firstLineChars="100" w:firstLine="210"/>
        <w:jc w:val="left"/>
        <w:rPr>
          <w:szCs w:val="21"/>
        </w:rPr>
      </w:pPr>
      <w:r>
        <w:rPr>
          <w:rFonts w:hint="eastAsia"/>
          <w:szCs w:val="21"/>
        </w:rPr>
        <w:t>ここで高速に処理をすることが可能な遺伝的アルゴリズムの適用を考えた。</w:t>
      </w:r>
    </w:p>
    <w:p w:rsidR="00371500" w:rsidRDefault="00371500" w:rsidP="00371500">
      <w:pPr>
        <w:jc w:val="left"/>
        <w:rPr>
          <w:szCs w:val="21"/>
        </w:rPr>
      </w:pPr>
    </w:p>
    <w:p w:rsidR="008C0527" w:rsidRDefault="00371500" w:rsidP="00371500">
      <w:pPr>
        <w:pStyle w:val="a7"/>
        <w:numPr>
          <w:ilvl w:val="0"/>
          <w:numId w:val="1"/>
        </w:numPr>
        <w:ind w:leftChars="0"/>
        <w:jc w:val="left"/>
        <w:rPr>
          <w:b/>
          <w:szCs w:val="21"/>
        </w:rPr>
      </w:pPr>
      <w:r>
        <w:rPr>
          <w:rFonts w:hint="eastAsia"/>
          <w:b/>
          <w:szCs w:val="21"/>
        </w:rPr>
        <w:t>政策手段パッケージ探索問題</w:t>
      </w:r>
    </w:p>
    <w:p w:rsidR="00371500" w:rsidRDefault="00371500" w:rsidP="00371500">
      <w:pPr>
        <w:pStyle w:val="a7"/>
        <w:ind w:leftChars="0" w:left="432"/>
        <w:jc w:val="left"/>
        <w:rPr>
          <w:szCs w:val="21"/>
        </w:rPr>
      </w:pPr>
    </w:p>
    <w:p w:rsidR="00371500" w:rsidRDefault="00371500" w:rsidP="00ED252A">
      <w:pPr>
        <w:pStyle w:val="a7"/>
        <w:ind w:leftChars="0" w:left="432"/>
        <w:jc w:val="left"/>
        <w:rPr>
          <w:szCs w:val="21"/>
        </w:rPr>
      </w:pPr>
      <w:r>
        <w:rPr>
          <w:rFonts w:hint="eastAsia"/>
          <w:szCs w:val="21"/>
        </w:rPr>
        <w:t xml:space="preserve">　本節では、先行研究における政策手段パッケージ探索問題を都市マイクロシミュレーションモデルによる</w:t>
      </w:r>
      <w:r w:rsidR="00ED252A">
        <w:rPr>
          <w:rFonts w:hint="eastAsia"/>
          <w:szCs w:val="21"/>
        </w:rPr>
        <w:t>立地者</w:t>
      </w:r>
      <w:r w:rsidR="00381A4D">
        <w:rPr>
          <w:rFonts w:hint="eastAsia"/>
          <w:szCs w:val="21"/>
        </w:rPr>
        <w:t>の移動を組み込んだ形式により再定義し、問題の一例を示した上で、全探索による解放の計算量について問題点を指摘する。</w:t>
      </w:r>
    </w:p>
    <w:p w:rsidR="00381A4D" w:rsidRDefault="00381A4D" w:rsidP="00ED252A">
      <w:pPr>
        <w:pStyle w:val="a7"/>
        <w:ind w:leftChars="0" w:left="432"/>
        <w:jc w:val="left"/>
        <w:rPr>
          <w:szCs w:val="21"/>
        </w:rPr>
      </w:pPr>
    </w:p>
    <w:p w:rsidR="00381A4D" w:rsidRPr="00381A4D" w:rsidRDefault="00381A4D" w:rsidP="00381A4D">
      <w:pPr>
        <w:pStyle w:val="a7"/>
        <w:numPr>
          <w:ilvl w:val="1"/>
          <w:numId w:val="1"/>
        </w:numPr>
        <w:ind w:leftChars="0"/>
        <w:jc w:val="left"/>
        <w:rPr>
          <w:b/>
          <w:szCs w:val="21"/>
        </w:rPr>
      </w:pPr>
      <w:r w:rsidRPr="00381A4D">
        <w:rPr>
          <w:rFonts w:hint="eastAsia"/>
          <w:b/>
          <w:szCs w:val="21"/>
        </w:rPr>
        <w:t>定義</w:t>
      </w:r>
    </w:p>
    <w:p w:rsidR="00371500" w:rsidRPr="00D2427E" w:rsidRDefault="00D2427E" w:rsidP="00D2427E">
      <w:pPr>
        <w:ind w:left="420" w:firstLineChars="100" w:firstLine="210"/>
        <w:jc w:val="left"/>
        <w:rPr>
          <w:szCs w:val="21"/>
        </w:rPr>
      </w:pPr>
      <w:r>
        <w:rPr>
          <w:rFonts w:hint="eastAsia"/>
          <w:szCs w:val="21"/>
        </w:rPr>
        <w:t>政策手段パッケージ探索問題は、複政策による政策パッケージの構築において、最も望ましい政策手段の組み合わせを決定するための最適化問題である。</w:t>
      </w:r>
    </w:p>
    <w:p w:rsidR="00D2427E" w:rsidRDefault="001226D4" w:rsidP="00D2427E">
      <w:pPr>
        <w:pStyle w:val="a7"/>
        <w:ind w:leftChars="0" w:left="432"/>
        <w:jc w:val="left"/>
        <w:rPr>
          <w:szCs w:val="21"/>
        </w:rPr>
      </w:pPr>
      <w:r>
        <w:rPr>
          <w:rFonts w:hint="eastAsia"/>
          <w:szCs w:val="21"/>
        </w:rPr>
        <w:t xml:space="preserve">　</w:t>
      </w:r>
      <w:r w:rsidR="00D2427E">
        <w:rPr>
          <w:rFonts w:hint="eastAsia"/>
          <w:szCs w:val="21"/>
        </w:rPr>
        <w:t>提供する公共サービスの最低水準を保つことを制約条件とし、財政支出を算出する関数を目的関数とする。財政支出は、ある政策手段の組み合わせを講じたと仮定してマイクロシミュレーションを用いた立地主体の移動を実行し、得られた立地主体分布の結果に基づいて算出される。制約条件を満たしつつ、目的関数の値を最小とするような政策手段の組み合わせが最適解となる。</w:t>
      </w:r>
    </w:p>
    <w:p w:rsidR="00D2427E" w:rsidRPr="00224D08" w:rsidRDefault="00D2427E" w:rsidP="00224D08">
      <w:pPr>
        <w:jc w:val="left"/>
        <w:rPr>
          <w:b/>
          <w:szCs w:val="21"/>
        </w:rPr>
      </w:pPr>
      <w:r w:rsidRPr="00224D08">
        <w:rPr>
          <w:rFonts w:hint="eastAsia"/>
          <w:b/>
          <w:szCs w:val="21"/>
        </w:rPr>
        <w:t>（2）高齢者介護福祉サービス問題の設定</w:t>
      </w:r>
    </w:p>
    <w:p w:rsidR="00326392" w:rsidRDefault="00224D08" w:rsidP="00224D08">
      <w:pPr>
        <w:pStyle w:val="a7"/>
        <w:ind w:leftChars="100" w:left="210" w:firstLineChars="100" w:firstLine="210"/>
        <w:jc w:val="left"/>
        <w:rPr>
          <w:szCs w:val="21"/>
        </w:rPr>
      </w:pPr>
      <w:r>
        <w:rPr>
          <w:rFonts w:hint="eastAsia"/>
          <w:szCs w:val="21"/>
        </w:rPr>
        <w:t>本研究では、立地主体として高齢者を取り扱</w:t>
      </w:r>
      <w:r w:rsidR="00D2427E">
        <w:rPr>
          <w:rFonts w:hint="eastAsia"/>
          <w:szCs w:val="21"/>
        </w:rPr>
        <w:t>い、移転補助金に関する政策手段によりその移転行動が変化する状況下での、高齢者の介護福祉サービスに関する行政費用の最小化問題を設定する。以下では、評価実験で使用する本問題について詳細を述べる。</w:t>
      </w:r>
    </w:p>
    <w:p w:rsidR="00326392" w:rsidRPr="00732212" w:rsidRDefault="00326392" w:rsidP="00732212">
      <w:pPr>
        <w:ind w:left="210" w:hangingChars="100" w:hanging="210"/>
        <w:jc w:val="left"/>
        <w:rPr>
          <w:szCs w:val="21"/>
        </w:rPr>
      </w:pPr>
      <w:r w:rsidRPr="00224D08">
        <w:rPr>
          <w:rFonts w:hint="eastAsia"/>
          <w:szCs w:val="21"/>
        </w:rPr>
        <w:t xml:space="preserve">　</w:t>
      </w:r>
      <w:r w:rsidR="00224D08">
        <w:rPr>
          <w:rFonts w:hint="eastAsia"/>
          <w:szCs w:val="21"/>
        </w:rPr>
        <w:t xml:space="preserve">　</w:t>
      </w:r>
      <w:r w:rsidRPr="00224D08">
        <w:rPr>
          <w:rFonts w:hint="eastAsia"/>
          <w:szCs w:val="21"/>
        </w:rPr>
        <w:t>高齢者介護福祉サービスにおける行政費用最小化問題では、介護福祉施設の配置</w:t>
      </w:r>
      <m:oMath>
        <m:r>
          <m:rPr>
            <m:sty m:val="p"/>
          </m:rPr>
          <w:rPr>
            <w:rFonts w:ascii="Cambria Math" w:hAnsi="Cambria Math"/>
            <w:szCs w:val="21"/>
          </w:rPr>
          <m:t>W</m:t>
        </m:r>
      </m:oMath>
      <w:r w:rsidRPr="00224D08">
        <w:rPr>
          <w:rFonts w:hint="eastAsia"/>
          <w:szCs w:val="21"/>
        </w:rPr>
        <w:t>及び都心ゾーンへ移転した際に支給される補助金</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oMath>
      <w:r w:rsidRPr="00224D08">
        <w:rPr>
          <w:rFonts w:hint="eastAsia"/>
          <w:szCs w:val="21"/>
        </w:rPr>
        <w:t>という2つの政策手段</w:t>
      </w:r>
      <m:oMath>
        <m:r>
          <m:rPr>
            <m:sty m:val="p"/>
          </m:rPr>
          <w:rPr>
            <w:rFonts w:ascii="Cambria Math" w:hAnsi="Cambria Math"/>
            <w:szCs w:val="21"/>
          </w:rPr>
          <m:t>P={W,</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r>
          <m:rPr>
            <m:sty m:val="p"/>
          </m:rPr>
          <w:rPr>
            <w:rFonts w:ascii="Cambria Math" w:hAnsi="Cambria Math"/>
            <w:szCs w:val="21"/>
          </w:rPr>
          <m:t>}</m:t>
        </m:r>
      </m:oMath>
      <w:r w:rsidRPr="00224D08">
        <w:rPr>
          <w:rFonts w:hint="eastAsia"/>
          <w:szCs w:val="21"/>
        </w:rPr>
        <w:t>を決定する。問題設定と目的関数、制約条件を以下のように定義する。</w:t>
      </w:r>
    </w:p>
    <w:p w:rsidR="00326392" w:rsidRPr="00224D08" w:rsidRDefault="00326392" w:rsidP="00224D08">
      <w:pPr>
        <w:jc w:val="left"/>
        <w:rPr>
          <w:szCs w:val="21"/>
        </w:rPr>
      </w:pPr>
      <w:r w:rsidRPr="00224D08">
        <w:rPr>
          <w:rFonts w:hint="eastAsia"/>
          <w:szCs w:val="21"/>
        </w:rPr>
        <w:t>【問題設定】</w:t>
      </w:r>
    </w:p>
    <w:p w:rsidR="00775CA4" w:rsidRDefault="00326392" w:rsidP="00224D08">
      <w:pPr>
        <w:pStyle w:val="a7"/>
        <w:ind w:leftChars="0" w:left="210" w:hangingChars="100" w:hanging="210"/>
        <w:jc w:val="left"/>
        <w:rPr>
          <w:szCs w:val="21"/>
        </w:rPr>
      </w:pPr>
      <w:r>
        <w:rPr>
          <w:rFonts w:hint="eastAsia"/>
          <w:szCs w:val="21"/>
        </w:rPr>
        <w:t>・図</w:t>
      </w:r>
      <w:r w:rsidR="00D16D02">
        <w:rPr>
          <w:rFonts w:hint="eastAsia"/>
          <w:szCs w:val="21"/>
        </w:rPr>
        <w:t>-</w:t>
      </w:r>
      <w:r>
        <w:rPr>
          <w:rFonts w:hint="eastAsia"/>
          <w:szCs w:val="21"/>
        </w:rPr>
        <w:t>1に示すような</w:t>
      </w:r>
      <m:oMath>
        <m:r>
          <m:rPr>
            <m:sty m:val="p"/>
          </m:rPr>
          <w:rPr>
            <w:rFonts w:ascii="Cambria Math" w:hAnsi="Cambria Math"/>
            <w:szCs w:val="21"/>
          </w:rPr>
          <m:t>X×Y</m:t>
        </m:r>
      </m:oMath>
      <w:r>
        <w:rPr>
          <w:rFonts w:hint="eastAsia"/>
          <w:szCs w:val="21"/>
        </w:rPr>
        <w:t>メッシュの2次元仮想都市に、N個の介護福祉施設を配置する。</w:t>
      </w:r>
      <m:oMath>
        <m:r>
          <m:rPr>
            <m:sty m:val="p"/>
          </m:rPr>
          <w:rPr>
            <w:rFonts w:ascii="Cambria Math" w:hAnsi="Cambria Math"/>
            <w:szCs w:val="21"/>
          </w:rPr>
          <m:t>X×Y</m:t>
        </m:r>
      </m:oMath>
      <w:r>
        <w:rPr>
          <w:rFonts w:hint="eastAsia"/>
          <w:szCs w:val="21"/>
        </w:rPr>
        <w:t>個のゾーンのうち、</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e</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e</m:t>
            </m:r>
          </m:sub>
        </m:sSub>
      </m:oMath>
      <w:r>
        <w:rPr>
          <w:rFonts w:hint="eastAsia"/>
          <w:szCs w:val="21"/>
        </w:rPr>
        <w:t>個を都心ゾーン、残りの(</w:t>
      </w:r>
      <m:oMath>
        <m:r>
          <m:rPr>
            <m:sty m:val="p"/>
          </m:rPr>
          <w:rPr>
            <w:rFonts w:ascii="Cambria Math" w:hAnsi="Cambria Math"/>
            <w:szCs w:val="21"/>
          </w:rPr>
          <m:t>XY×</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e</m:t>
            </m:r>
          </m:sub>
        </m:sSub>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e</m:t>
            </m:r>
          </m:sub>
        </m:sSub>
      </m:oMath>
      <w:r>
        <w:rPr>
          <w:szCs w:val="21"/>
        </w:rPr>
        <w:t>)</w:t>
      </w:r>
      <w:r>
        <w:rPr>
          <w:rFonts w:hint="eastAsia"/>
          <w:szCs w:val="21"/>
        </w:rPr>
        <w:t>個を周辺ゾーンとする。</w:t>
      </w:r>
    </w:p>
    <w:p w:rsidR="000C6835" w:rsidRDefault="00775CA4" w:rsidP="00224D08">
      <w:pPr>
        <w:pStyle w:val="a7"/>
        <w:ind w:leftChars="0" w:left="210" w:hangingChars="100" w:hanging="210"/>
        <w:jc w:val="left"/>
        <w:rPr>
          <w:szCs w:val="21"/>
        </w:rPr>
      </w:pPr>
      <w:r>
        <w:rPr>
          <w:rFonts w:hint="eastAsia"/>
          <w:szCs w:val="21"/>
        </w:rPr>
        <w:t>・1ゾーンあたり</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0</m:t>
            </m:r>
          </m:sub>
        </m:sSub>
      </m:oMath>
      <w:r>
        <w:rPr>
          <w:rFonts w:hint="eastAsia"/>
          <w:szCs w:val="21"/>
        </w:rPr>
        <w:t>人の高齢者が居住しており、補助金額に関する施策に応じて、周辺ゾーンに居住する高齢者が都心ゾーンへ移転するものとする。</w:t>
      </w:r>
      <w:r w:rsidR="006938B4">
        <w:rPr>
          <w:rFonts w:hint="eastAsia"/>
          <w:szCs w:val="21"/>
        </w:rPr>
        <w:t>1人あたりの移転補助金が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oMath>
      <w:r w:rsidR="006938B4">
        <w:rPr>
          <w:rFonts w:hint="eastAsia"/>
          <w:szCs w:val="21"/>
        </w:rPr>
        <w:t>円の場合の移転確率</w:t>
      </w: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m</m:t>
            </m:r>
          </m:sub>
        </m:sSub>
      </m:oMath>
      <w:r w:rsidR="006938B4">
        <w:rPr>
          <w:szCs w:val="21"/>
        </w:rPr>
        <w:t>%</w:t>
      </w:r>
      <w:r w:rsidR="006938B4">
        <w:rPr>
          <w:rFonts w:hint="eastAsia"/>
          <w:szCs w:val="21"/>
        </w:rPr>
        <w:t>は、移転補助金が高いほど移転する確率は高くなるものとして式(</w:t>
      </w:r>
      <w:r w:rsidR="006938B4">
        <w:rPr>
          <w:szCs w:val="21"/>
        </w:rPr>
        <w:t>1)</w:t>
      </w:r>
      <w:r w:rsidR="006938B4">
        <w:rPr>
          <w:rFonts w:hint="eastAsia"/>
          <w:szCs w:val="21"/>
        </w:rPr>
        <w:t>で表す。ここで、α、β、γはパラメータである。</w:t>
      </w:r>
    </w:p>
    <w:p w:rsidR="00224D08" w:rsidRPr="0057600A" w:rsidRDefault="001226D4" w:rsidP="0057600A">
      <w:pPr>
        <w:pStyle w:val="a7"/>
        <w:ind w:leftChars="0" w:left="432"/>
        <w:rPr>
          <w:b/>
          <w:sz w:val="24"/>
          <w:szCs w:val="24"/>
        </w:rPr>
      </w:pPr>
      <w:r w:rsidRPr="00775CA4">
        <w:rPr>
          <w:rFonts w:hint="eastAsia"/>
          <w:b/>
          <w:szCs w:val="21"/>
        </w:rPr>
        <w:t xml:space="preserve">　</w:t>
      </w:r>
      <m:oMath>
        <m:sSub>
          <m:sSubPr>
            <m:ctrlPr>
              <w:rPr>
                <w:rFonts w:ascii="Cambria Math" w:hAnsi="Cambria Math"/>
                <w:b/>
                <w:sz w:val="40"/>
                <w:szCs w:val="21"/>
              </w:rPr>
            </m:ctrlPr>
          </m:sSubPr>
          <m:e>
            <m:r>
              <m:rPr>
                <m:sty m:val="b"/>
              </m:rPr>
              <w:rPr>
                <w:rFonts w:ascii="Cambria Math" w:hAnsi="Cambria Math"/>
                <w:sz w:val="40"/>
                <w:szCs w:val="21"/>
              </w:rPr>
              <m:t>R</m:t>
            </m:r>
          </m:e>
          <m:sub>
            <m:r>
              <m:rPr>
                <m:sty m:val="b"/>
              </m:rPr>
              <w:rPr>
                <w:rFonts w:ascii="Cambria Math" w:hAnsi="Cambria Math"/>
                <w:sz w:val="40"/>
                <w:szCs w:val="21"/>
              </w:rPr>
              <m:t>m</m:t>
            </m:r>
          </m:sub>
        </m:sSub>
        <m:r>
          <m:rPr>
            <m:sty m:val="b"/>
          </m:rPr>
          <w:rPr>
            <w:rFonts w:ascii="Cambria Math" w:hAnsi="Cambria Math"/>
            <w:sz w:val="40"/>
            <w:szCs w:val="21"/>
          </w:rPr>
          <m:t>=</m:t>
        </m:r>
        <m:f>
          <m:fPr>
            <m:ctrlPr>
              <w:rPr>
                <w:rFonts w:ascii="Cambria Math" w:hAnsi="Cambria Math"/>
                <w:b/>
                <w:sz w:val="40"/>
                <w:szCs w:val="21"/>
              </w:rPr>
            </m:ctrlPr>
          </m:fPr>
          <m:num>
            <m:r>
              <m:rPr>
                <m:sty m:val="b"/>
              </m:rPr>
              <w:rPr>
                <w:rFonts w:ascii="Cambria Math" w:hAnsi="Cambria Math"/>
                <w:sz w:val="40"/>
                <w:szCs w:val="21"/>
              </w:rPr>
              <m:t>α</m:t>
            </m:r>
          </m:num>
          <m:den>
            <m:func>
              <m:funcPr>
                <m:ctrlPr>
                  <w:rPr>
                    <w:rFonts w:ascii="Cambria Math" w:hAnsi="Cambria Math"/>
                    <w:b/>
                    <w:sz w:val="40"/>
                    <w:szCs w:val="21"/>
                  </w:rPr>
                </m:ctrlPr>
              </m:funcPr>
              <m:fName>
                <m:r>
                  <m:rPr>
                    <m:sty m:val="b"/>
                  </m:rPr>
                  <w:rPr>
                    <w:rFonts w:ascii="Cambria Math" w:hAnsi="Cambria Math"/>
                    <w:sz w:val="40"/>
                    <w:szCs w:val="21"/>
                  </w:rPr>
                  <m:t>exp</m:t>
                </m:r>
              </m:fName>
              <m:e>
                <m:d>
                  <m:dPr>
                    <m:ctrlPr>
                      <w:rPr>
                        <w:rFonts w:ascii="Cambria Math" w:hAnsi="Cambria Math"/>
                        <w:b/>
                        <w:sz w:val="40"/>
                        <w:szCs w:val="21"/>
                      </w:rPr>
                    </m:ctrlPr>
                  </m:dPr>
                  <m:e>
                    <m:r>
                      <m:rPr>
                        <m:sty m:val="b"/>
                      </m:rPr>
                      <w:rPr>
                        <w:rFonts w:ascii="Cambria Math" w:hAnsi="Cambria Math"/>
                        <w:sz w:val="40"/>
                        <w:szCs w:val="21"/>
                      </w:rPr>
                      <m:t>-β⋅</m:t>
                    </m:r>
                    <m:sSub>
                      <m:sSubPr>
                        <m:ctrlPr>
                          <w:rPr>
                            <w:rFonts w:ascii="Cambria Math" w:hAnsi="Cambria Math"/>
                            <w:b/>
                            <w:sz w:val="40"/>
                            <w:szCs w:val="21"/>
                          </w:rPr>
                        </m:ctrlPr>
                      </m:sSubPr>
                      <m:e>
                        <m:r>
                          <m:rPr>
                            <m:sty m:val="b"/>
                          </m:rPr>
                          <w:rPr>
                            <w:rFonts w:ascii="Cambria Math" w:hAnsi="Cambria Math"/>
                            <w:sz w:val="40"/>
                            <w:szCs w:val="21"/>
                          </w:rPr>
                          <m:t>C</m:t>
                        </m:r>
                      </m:e>
                      <m:sub>
                        <m:r>
                          <m:rPr>
                            <m:sty m:val="b"/>
                          </m:rPr>
                          <w:rPr>
                            <w:rFonts w:ascii="Cambria Math" w:hAnsi="Cambria Math"/>
                            <w:sz w:val="40"/>
                            <w:szCs w:val="21"/>
                          </w:rPr>
                          <m:t>m</m:t>
                        </m:r>
                      </m:sub>
                    </m:sSub>
                    <m:r>
                      <m:rPr>
                        <m:sty m:val="b"/>
                      </m:rPr>
                      <w:rPr>
                        <w:rFonts w:ascii="Cambria Math" w:hAnsi="Cambria Math"/>
                        <w:sz w:val="40"/>
                        <w:szCs w:val="21"/>
                      </w:rPr>
                      <m:t>+γ</m:t>
                    </m:r>
                  </m:e>
                </m:d>
              </m:e>
            </m:func>
          </m:den>
        </m:f>
      </m:oMath>
      <w:r w:rsidR="000C6835">
        <w:rPr>
          <w:rFonts w:hint="eastAsia"/>
          <w:b/>
          <w:sz w:val="40"/>
          <w:szCs w:val="21"/>
        </w:rPr>
        <w:t xml:space="preserve"> </w:t>
      </w:r>
      <w:r w:rsidR="000C6835">
        <w:rPr>
          <w:b/>
          <w:sz w:val="40"/>
          <w:szCs w:val="21"/>
        </w:rPr>
        <w:t xml:space="preserve"> </w:t>
      </w:r>
      <w:r w:rsidR="000C6835">
        <w:rPr>
          <w:b/>
          <w:szCs w:val="21"/>
        </w:rPr>
        <w:t xml:space="preserve"> </w:t>
      </w:r>
      <w:r w:rsidR="0057600A">
        <w:rPr>
          <w:b/>
          <w:szCs w:val="21"/>
        </w:rPr>
        <w:t>(1)</w:t>
      </w:r>
    </w:p>
    <w:p w:rsidR="0057600A" w:rsidRPr="0057600A" w:rsidRDefault="0057600A" w:rsidP="0057600A">
      <w:pPr>
        <w:pStyle w:val="a7"/>
        <w:ind w:leftChars="0" w:left="432"/>
        <w:rPr>
          <w:b/>
          <w:sz w:val="24"/>
          <w:szCs w:val="24"/>
        </w:rPr>
      </w:pPr>
    </w:p>
    <w:p w:rsidR="00A642AB" w:rsidRDefault="00A642AB" w:rsidP="00A642AB">
      <w:pPr>
        <w:ind w:left="210" w:hangingChars="100" w:hanging="210"/>
        <w:rPr>
          <w:szCs w:val="21"/>
        </w:rPr>
      </w:pPr>
      <w:r>
        <w:rPr>
          <w:rFonts w:hint="eastAsia"/>
          <w:szCs w:val="21"/>
        </w:rPr>
        <w:lastRenderedPageBreak/>
        <w:t>・周辺ソーン居住する高齢者の都心ゾーへの移転は、移転確率</w:t>
      </w: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rFonts w:hint="eastAsia"/>
          <w:szCs w:val="21"/>
        </w:rPr>
        <w:t>に基づくマイクロシミュレーションで決定される。移転するか否かを確立</w:t>
      </w: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rFonts w:hint="eastAsia"/>
          <w:szCs w:val="21"/>
        </w:rPr>
        <w:t>に基づいてモンテカルロ法で決定し、移転する場合は移転先の都心ゾーンをランダムに選択する。シミュレーションの結果、移転した高齢者の総数を</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e>
        </m:d>
      </m:oMath>
      <w:r>
        <w:rPr>
          <w:rFonts w:hint="eastAsia"/>
          <w:szCs w:val="21"/>
        </w:rPr>
        <w:t>、移転後の各ゾーンの高齢者分布を</w:t>
      </w:r>
      <m:oMath>
        <m:r>
          <m:rPr>
            <m:sty m:val="p"/>
          </m:rPr>
          <w:rPr>
            <w:rFonts w:ascii="Cambria Math" w:hAnsi="Cambria Math"/>
            <w:szCs w:val="21"/>
          </w:rPr>
          <m:t>P</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rFonts w:hint="eastAsia"/>
          <w:szCs w:val="21"/>
        </w:rPr>
        <w:t>で表す。</w:t>
      </w:r>
    </w:p>
    <w:p w:rsidR="00224D08" w:rsidRDefault="00A642AB" w:rsidP="001A3369">
      <w:pPr>
        <w:ind w:left="210" w:hangingChars="100" w:hanging="210"/>
        <w:rPr>
          <w:szCs w:val="21"/>
        </w:rPr>
      </w:pPr>
      <w:r>
        <w:rPr>
          <w:rFonts w:hint="eastAsia"/>
          <w:szCs w:val="21"/>
        </w:rPr>
        <w:t>・高齢者は、</w:t>
      </w: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W</m:t>
            </m:r>
          </m:sub>
        </m:sSub>
      </m:oMath>
      <w:r>
        <w:rPr>
          <w:szCs w:val="21"/>
        </w:rPr>
        <w:t>(</w:t>
      </w:r>
      <w:r>
        <w:rPr>
          <w:rFonts w:hint="eastAsia"/>
          <w:szCs w:val="21"/>
        </w:rPr>
        <w:t>回/人・日</w:t>
      </w:r>
      <w:r>
        <w:rPr>
          <w:szCs w:val="21"/>
        </w:rPr>
        <w:t>)</w:t>
      </w:r>
      <w:r>
        <w:rPr>
          <w:rFonts w:hint="eastAsia"/>
          <w:szCs w:val="21"/>
        </w:rPr>
        <w:t>のサービス受給率で最寄りの介護福祉施設に移送サービスを利用して通う。最寄り施設が複数</w:t>
      </w:r>
      <w:r w:rsidR="001A3369">
        <w:rPr>
          <w:rFonts w:hint="eastAsia"/>
          <w:szCs w:val="21"/>
        </w:rPr>
        <w:t>ある場合は、ゾーン内の全高齢者を各施設に均等に割り当てる。</w:t>
      </w:r>
    </w:p>
    <w:p w:rsidR="003834CF" w:rsidRDefault="00224D08" w:rsidP="003834CF">
      <w:pPr>
        <w:ind w:left="210" w:hangingChars="100" w:hanging="210"/>
        <w:rPr>
          <w:szCs w:val="21"/>
        </w:rPr>
      </w:pPr>
      <w:r>
        <w:rPr>
          <w:rFonts w:hint="eastAsia"/>
          <w:szCs w:val="21"/>
        </w:rPr>
        <w:t>・図―1に示すように、縦横の隣接ゾーンを結ぶ道路が格子状に配置されており、隣接ゾーンへの移動にはT分、同一ゾーン内の移動にはT</w:t>
      </w:r>
      <w:r>
        <w:rPr>
          <w:szCs w:val="21"/>
        </w:rPr>
        <w:t>/2</w:t>
      </w:r>
      <w:r>
        <w:rPr>
          <w:rFonts w:hint="eastAsia"/>
          <w:szCs w:val="21"/>
        </w:rPr>
        <w:t>分かかる。1分あたりの移送サービス費用は</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W</m:t>
            </m:r>
          </m:sub>
        </m:sSub>
      </m:oMath>
      <w:r>
        <w:rPr>
          <w:rFonts w:hint="eastAsia"/>
          <w:szCs w:val="21"/>
        </w:rPr>
        <w:t>円である。</w:t>
      </w:r>
    </w:p>
    <w:p w:rsidR="003834CF" w:rsidRDefault="003834CF" w:rsidP="003834CF">
      <w:pPr>
        <w:ind w:left="210" w:hangingChars="100" w:hanging="210"/>
        <w:rPr>
          <w:szCs w:val="21"/>
        </w:rPr>
      </w:pPr>
      <w:r>
        <w:rPr>
          <w:rFonts w:hint="eastAsia"/>
          <w:noProof/>
          <w:szCs w:val="21"/>
        </w:rPr>
        <w:drawing>
          <wp:anchor distT="0" distB="0" distL="114300" distR="114300" simplePos="0" relativeHeight="251658240" behindDoc="0" locked="0" layoutInCell="1" allowOverlap="1">
            <wp:simplePos x="0" y="0"/>
            <wp:positionH relativeFrom="column">
              <wp:align>left</wp:align>
            </wp:positionH>
            <wp:positionV relativeFrom="paragraph">
              <wp:posOffset>3810</wp:posOffset>
            </wp:positionV>
            <wp:extent cx="2804160" cy="1591945"/>
            <wp:effectExtent l="0" t="0" r="0" b="825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1591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34CF" w:rsidRDefault="003834CF" w:rsidP="003834CF">
      <w:pPr>
        <w:ind w:left="210" w:hangingChars="100" w:hanging="210"/>
        <w:rPr>
          <w:szCs w:val="21"/>
        </w:rPr>
      </w:pPr>
    </w:p>
    <w:p w:rsidR="003834CF" w:rsidRDefault="003834CF" w:rsidP="003834CF">
      <w:pPr>
        <w:ind w:left="210" w:hangingChars="100" w:hanging="210"/>
        <w:rPr>
          <w:szCs w:val="21"/>
        </w:rPr>
      </w:pPr>
    </w:p>
    <w:p w:rsidR="003834CF" w:rsidRDefault="003834CF" w:rsidP="003834CF">
      <w:pPr>
        <w:ind w:left="210" w:hangingChars="100" w:hanging="210"/>
        <w:rPr>
          <w:szCs w:val="21"/>
        </w:rPr>
      </w:pPr>
    </w:p>
    <w:p w:rsidR="003834CF" w:rsidRDefault="003834CF" w:rsidP="003834CF">
      <w:pPr>
        <w:ind w:left="210" w:hangingChars="100" w:hanging="210"/>
        <w:rPr>
          <w:szCs w:val="21"/>
        </w:rPr>
      </w:pPr>
    </w:p>
    <w:p w:rsidR="003834CF" w:rsidRDefault="003834CF" w:rsidP="003834CF">
      <w:pPr>
        <w:ind w:left="210" w:hangingChars="100" w:hanging="210"/>
        <w:rPr>
          <w:szCs w:val="21"/>
        </w:rPr>
      </w:pPr>
    </w:p>
    <w:p w:rsidR="003834CF" w:rsidRDefault="003834CF" w:rsidP="003834CF">
      <w:pPr>
        <w:ind w:left="210" w:hangingChars="100" w:hanging="210"/>
        <w:rPr>
          <w:szCs w:val="21"/>
        </w:rPr>
      </w:pPr>
    </w:p>
    <w:p w:rsidR="003834CF" w:rsidRDefault="003834CF" w:rsidP="003834CF">
      <w:pPr>
        <w:ind w:left="206" w:hangingChars="100" w:hanging="206"/>
        <w:jc w:val="center"/>
        <w:rPr>
          <w:szCs w:val="21"/>
        </w:rPr>
      </w:pPr>
      <w:r w:rsidRPr="00D16D02">
        <w:rPr>
          <w:rFonts w:hint="eastAsia"/>
          <w:b/>
          <w:szCs w:val="21"/>
        </w:rPr>
        <w:t>図</w:t>
      </w:r>
      <w:r w:rsidRPr="00D16D02">
        <w:rPr>
          <w:rFonts w:ascii="ＭＳ 明朝" w:eastAsia="ＭＳ 明朝" w:hAnsi="ＭＳ 明朝" w:cs="ＭＳ 明朝" w:hint="eastAsia"/>
          <w:b/>
          <w:szCs w:val="21"/>
        </w:rPr>
        <w:t>-</w:t>
      </w:r>
      <w:r w:rsidRPr="00D16D02">
        <w:rPr>
          <w:rFonts w:hint="eastAsia"/>
          <w:b/>
          <w:szCs w:val="21"/>
        </w:rPr>
        <w:t>1</w:t>
      </w:r>
      <w:r>
        <w:rPr>
          <w:rFonts w:hint="eastAsia"/>
          <w:szCs w:val="21"/>
        </w:rPr>
        <w:t xml:space="preserve">　2次元仮想都市</w:t>
      </w:r>
    </w:p>
    <w:p w:rsidR="003834CF" w:rsidRDefault="003834CF" w:rsidP="003834CF">
      <w:pPr>
        <w:ind w:left="210" w:hangingChars="100" w:hanging="210"/>
        <w:rPr>
          <w:szCs w:val="21"/>
        </w:rPr>
      </w:pPr>
      <w:r>
        <w:rPr>
          <w:rFonts w:hint="eastAsia"/>
          <w:szCs w:val="21"/>
        </w:rPr>
        <w:t>・介護福祉施設の新設および10年間の維持管理には</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b</m:t>
            </m:r>
          </m:sub>
        </m:sSub>
      </m:oMath>
      <w:r>
        <w:rPr>
          <w:rFonts w:hint="eastAsia"/>
          <w:szCs w:val="21"/>
        </w:rPr>
        <w:t>円かかるものとする。</w:t>
      </w:r>
    </w:p>
    <w:p w:rsidR="003834CF" w:rsidRDefault="003834CF" w:rsidP="003834CF">
      <w:pPr>
        <w:ind w:left="210" w:hangingChars="100" w:hanging="210"/>
        <w:rPr>
          <w:szCs w:val="21"/>
        </w:rPr>
      </w:pPr>
      <w:r>
        <w:rPr>
          <w:rFonts w:hint="eastAsia"/>
          <w:szCs w:val="21"/>
        </w:rPr>
        <w:t>【目的関数】</w:t>
      </w:r>
    </w:p>
    <w:p w:rsidR="003834CF" w:rsidRDefault="003834CF" w:rsidP="003834CF">
      <w:pPr>
        <w:ind w:left="210" w:hangingChars="100" w:hanging="210"/>
        <w:rPr>
          <w:szCs w:val="21"/>
        </w:rPr>
      </w:pPr>
      <w:r>
        <w:rPr>
          <w:rFonts w:hint="eastAsia"/>
          <w:szCs w:val="21"/>
        </w:rPr>
        <w:t>・移転補助費用</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sidR="00732212">
        <w:rPr>
          <w:rFonts w:hint="eastAsia"/>
          <w:szCs w:val="21"/>
        </w:rPr>
        <w:t>は、移転高齢者の総数</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e>
        </m:d>
      </m:oMath>
      <w:r w:rsidR="00732212">
        <w:rPr>
          <w:rFonts w:hint="eastAsia"/>
          <w:szCs w:val="21"/>
        </w:rPr>
        <w:t>により、式(</w:t>
      </w:r>
      <w:r w:rsidR="00732212">
        <w:rPr>
          <w:szCs w:val="21"/>
        </w:rPr>
        <w:t>2)</w:t>
      </w:r>
      <w:r w:rsidR="00732212">
        <w:rPr>
          <w:rFonts w:hint="eastAsia"/>
          <w:szCs w:val="21"/>
        </w:rPr>
        <w:t>で算出される。</w:t>
      </w:r>
    </w:p>
    <w:p w:rsidR="00732212" w:rsidRDefault="00110B20" w:rsidP="00732212">
      <w:pPr>
        <w:ind w:left="210" w:hangingChars="100" w:hanging="210"/>
        <w:jc w:val="center"/>
        <w:rPr>
          <w:szCs w:val="21"/>
        </w:rPr>
      </w:pP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sidR="00732212">
        <w:rPr>
          <w:szCs w:val="21"/>
        </w:rPr>
        <w:t>=</w:t>
      </w:r>
      <m:oMath>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sidR="00732212">
        <w:rPr>
          <w:rFonts w:hint="eastAsia"/>
          <w:szCs w:val="21"/>
        </w:rPr>
        <w:t>・</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e>
        </m:d>
      </m:oMath>
      <w:r w:rsidR="00732212">
        <w:rPr>
          <w:szCs w:val="21"/>
        </w:rPr>
        <w:t xml:space="preserve">     (2)</w:t>
      </w:r>
    </w:p>
    <w:p w:rsidR="0057600A" w:rsidRDefault="00732212" w:rsidP="00732212">
      <w:pPr>
        <w:ind w:left="210" w:hangingChars="100" w:hanging="210"/>
        <w:jc w:val="left"/>
        <w:rPr>
          <w:szCs w:val="21"/>
        </w:rPr>
      </w:pPr>
      <w:r>
        <w:rPr>
          <w:rFonts w:hint="eastAsia"/>
          <w:szCs w:val="21"/>
        </w:rPr>
        <w:t>・各ゾーンから施設までの移動時間は介護福祉施設の配置</w:t>
      </w:r>
      <m:oMath>
        <m:r>
          <m:rPr>
            <m:sty m:val="p"/>
          </m:rPr>
          <w:rPr>
            <w:rFonts w:ascii="Cambria Math" w:hAnsi="Cambria Math"/>
            <w:szCs w:val="21"/>
          </w:rPr>
          <m:t>W</m:t>
        </m:r>
      </m:oMath>
      <w:r>
        <w:rPr>
          <w:rFonts w:hint="eastAsia"/>
          <w:szCs w:val="21"/>
        </w:rPr>
        <w:t>により決定される。施設までの移動時間と居住者数の積を、すべてのゾーンに関して合計した値を</w:t>
      </w:r>
      <m:oMath>
        <m:r>
          <m:rPr>
            <m:sty m:val="p"/>
          </m:rPr>
          <w:rPr>
            <w:rFonts w:ascii="Cambria Math" w:hAnsi="Cambria Math"/>
            <w:szCs w:val="21"/>
          </w:rPr>
          <m:t>T</m:t>
        </m:r>
        <m:d>
          <m:dPr>
            <m:ctrlPr>
              <w:rPr>
                <w:rFonts w:ascii="Cambria Math" w:hAnsi="Cambria Math"/>
                <w:szCs w:val="21"/>
              </w:rPr>
            </m:ctrlPr>
          </m:dPr>
          <m:e>
            <m:r>
              <m:rPr>
                <m:sty m:val="p"/>
              </m:rPr>
              <w:rPr>
                <w:rFonts w:ascii="Cambria Math" w:hAnsi="Cambria Math"/>
                <w:szCs w:val="21"/>
              </w:rPr>
              <m:t>W,P</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e>
        </m:d>
      </m:oMath>
      <w:r>
        <w:rPr>
          <w:rFonts w:hint="eastAsia"/>
          <w:szCs w:val="21"/>
        </w:rPr>
        <w:t>とすると、10年間の移送サービス費用の総和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w</m:t>
            </m:r>
          </m:sub>
        </m:sSub>
        <m:d>
          <m:dPr>
            <m:ctrlPr>
              <w:rPr>
                <w:rFonts w:ascii="Cambria Math" w:hAnsi="Cambria Math"/>
                <w:szCs w:val="21"/>
              </w:rPr>
            </m:ctrlPr>
          </m:dPr>
          <m:e>
            <m:r>
              <m:rPr>
                <m:sty m:val="p"/>
              </m:rPr>
              <w:rPr>
                <w:rFonts w:ascii="Cambria Math" w:hAnsi="Cambria Math"/>
                <w:szCs w:val="21"/>
              </w:rPr>
              <m:t>W</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rFonts w:hint="eastAsia"/>
          <w:szCs w:val="21"/>
        </w:rPr>
        <w:t>は</w:t>
      </w:r>
      <w:r w:rsidR="002B6132">
        <w:rPr>
          <w:rFonts w:hint="eastAsia"/>
          <w:szCs w:val="21"/>
        </w:rPr>
        <w:t>式</w:t>
      </w:r>
    </w:p>
    <w:p w:rsidR="00732212" w:rsidRDefault="002B6132" w:rsidP="0057600A">
      <w:pPr>
        <w:ind w:firstLineChars="100" w:firstLine="210"/>
        <w:jc w:val="left"/>
        <w:rPr>
          <w:szCs w:val="21"/>
        </w:rPr>
      </w:pPr>
      <w:r>
        <w:rPr>
          <w:rFonts w:hint="eastAsia"/>
          <w:szCs w:val="21"/>
        </w:rPr>
        <w:t>(</w:t>
      </w:r>
      <w:r>
        <w:rPr>
          <w:szCs w:val="21"/>
        </w:rPr>
        <w:t>3)</w:t>
      </w:r>
      <w:r>
        <w:rPr>
          <w:rFonts w:hint="eastAsia"/>
          <w:szCs w:val="21"/>
        </w:rPr>
        <w:t>で求められる。</w:t>
      </w:r>
    </w:p>
    <w:p w:rsidR="002B6132" w:rsidRDefault="002B6132" w:rsidP="00732212">
      <w:pPr>
        <w:ind w:left="210" w:hangingChars="100" w:hanging="210"/>
        <w:jc w:val="left"/>
        <w:rPr>
          <w:szCs w:val="21"/>
        </w:rPr>
      </w:pPr>
      <w:r>
        <w:rPr>
          <w:rFonts w:hint="eastAsia"/>
          <w:szCs w:val="21"/>
        </w:rPr>
        <w:t xml:space="preserve">　　　</w:t>
      </w:r>
    </w:p>
    <w:p w:rsidR="002B6132" w:rsidRDefault="00110B20" w:rsidP="002B6132">
      <w:pPr>
        <w:ind w:left="210" w:hangingChars="100" w:hanging="210"/>
        <w:jc w:val="left"/>
        <w:rPr>
          <w:szCs w:val="21"/>
        </w:rPr>
      </w:pP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w</m:t>
            </m:r>
          </m:sub>
        </m:sSub>
        <m:d>
          <m:dPr>
            <m:ctrlPr>
              <w:rPr>
                <w:rFonts w:ascii="Cambria Math" w:hAnsi="Cambria Math"/>
                <w:szCs w:val="21"/>
              </w:rPr>
            </m:ctrlPr>
          </m:dPr>
          <m:e>
            <m:r>
              <m:rPr>
                <m:sty m:val="p"/>
              </m:rPr>
              <w:rPr>
                <w:rFonts w:ascii="Cambria Math" w:hAnsi="Cambria Math"/>
                <w:szCs w:val="21"/>
              </w:rPr>
              <m:t>W</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sidR="002B6132">
        <w:rPr>
          <w:szCs w:val="21"/>
        </w:rPr>
        <w:t>=</w:t>
      </w:r>
      <m:oMath>
        <m:r>
          <m:rPr>
            <m:sty m:val="p"/>
          </m:rPr>
          <w:rPr>
            <w:rFonts w:ascii="Cambria Math" w:hAnsi="Cambria Math"/>
            <w:szCs w:val="21"/>
          </w:rPr>
          <m:t xml:space="preserve"> T</m:t>
        </m:r>
        <m:d>
          <m:dPr>
            <m:ctrlPr>
              <w:rPr>
                <w:rFonts w:ascii="Cambria Math" w:hAnsi="Cambria Math"/>
                <w:szCs w:val="21"/>
              </w:rPr>
            </m:ctrlPr>
          </m:dPr>
          <m:e>
            <m:r>
              <m:rPr>
                <m:sty m:val="p"/>
              </m:rPr>
              <w:rPr>
                <w:rFonts w:ascii="Cambria Math" w:hAnsi="Cambria Math"/>
                <w:szCs w:val="21"/>
              </w:rPr>
              <m:t>W,P</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e>
        </m:d>
      </m:oMath>
      <w:r w:rsidR="002B6132">
        <w:rPr>
          <w:rFonts w:hint="eastAsia"/>
          <w:szCs w:val="21"/>
        </w:rPr>
        <w:t>・</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w</m:t>
            </m:r>
          </m:sub>
        </m:sSub>
      </m:oMath>
      <w:r w:rsidR="002B6132">
        <w:rPr>
          <w:rFonts w:hint="eastAsia"/>
          <w:szCs w:val="21"/>
        </w:rPr>
        <w:t>・</w:t>
      </w: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w</m:t>
            </m:r>
          </m:sub>
        </m:sSub>
      </m:oMath>
      <w:r w:rsidR="002B6132">
        <w:rPr>
          <w:rFonts w:hint="eastAsia"/>
          <w:szCs w:val="21"/>
        </w:rPr>
        <w:t>×2×365×10　　　　　　　　　　　　　　　　(</w:t>
      </w:r>
      <w:r w:rsidR="002B6132">
        <w:rPr>
          <w:szCs w:val="21"/>
        </w:rPr>
        <w:t>3)</w:t>
      </w:r>
    </w:p>
    <w:p w:rsidR="002B6132" w:rsidRDefault="002B6132" w:rsidP="002B6132">
      <w:pPr>
        <w:ind w:left="210" w:hangingChars="100" w:hanging="210"/>
        <w:jc w:val="left"/>
        <w:rPr>
          <w:szCs w:val="21"/>
        </w:rPr>
      </w:pPr>
      <w:r>
        <w:rPr>
          <w:rFonts w:hint="eastAsia"/>
          <w:szCs w:val="21"/>
        </w:rPr>
        <w:t>・移転補助費用</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rFonts w:hint="eastAsia"/>
          <w:szCs w:val="21"/>
        </w:rPr>
        <w:t>、10年間の移送サービス費用</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w</m:t>
            </m:r>
          </m:sub>
        </m:sSub>
        <m:d>
          <m:dPr>
            <m:ctrlPr>
              <w:rPr>
                <w:rFonts w:ascii="Cambria Math" w:hAnsi="Cambria Math"/>
                <w:szCs w:val="21"/>
              </w:rPr>
            </m:ctrlPr>
          </m:dPr>
          <m:e>
            <m:r>
              <m:rPr>
                <m:sty m:val="p"/>
              </m:rPr>
              <w:rPr>
                <w:rFonts w:ascii="Cambria Math" w:hAnsi="Cambria Math"/>
                <w:szCs w:val="21"/>
              </w:rPr>
              <m:t>W</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rFonts w:hint="eastAsia"/>
          <w:szCs w:val="21"/>
        </w:rPr>
        <w:t>、配置の</w:t>
      </w:r>
      <m:oMath>
        <m:r>
          <m:rPr>
            <m:sty m:val="p"/>
          </m:rPr>
          <w:rPr>
            <w:rFonts w:ascii="Cambria Math" w:hAnsi="Cambria Math"/>
            <w:szCs w:val="21"/>
          </w:rPr>
          <m:t>W</m:t>
        </m:r>
      </m:oMath>
      <w:r>
        <w:rPr>
          <w:rFonts w:hint="eastAsia"/>
          <w:szCs w:val="21"/>
        </w:rPr>
        <w:t>の下での</w:t>
      </w:r>
      <m:oMath>
        <m:r>
          <m:rPr>
            <m:sty m:val="p"/>
          </m:rPr>
          <w:rPr>
            <w:rFonts w:ascii="Cambria Math" w:hAnsi="Cambria Math"/>
            <w:szCs w:val="21"/>
          </w:rPr>
          <m:t>N</m:t>
        </m:r>
        <m:d>
          <m:dPr>
            <m:ctrlPr>
              <w:rPr>
                <w:rFonts w:ascii="Cambria Math" w:hAnsi="Cambria Math"/>
                <w:szCs w:val="21"/>
              </w:rPr>
            </m:ctrlPr>
          </m:dPr>
          <m:e>
            <m:r>
              <m:rPr>
                <m:sty m:val="p"/>
              </m:rPr>
              <w:rPr>
                <w:rFonts w:ascii="Cambria Math" w:hAnsi="Cambria Math"/>
                <w:szCs w:val="21"/>
              </w:rPr>
              <m:t>W</m:t>
            </m:r>
          </m:e>
        </m:d>
      </m:oMath>
      <w:r>
        <w:rPr>
          <w:rFonts w:hint="eastAsia"/>
          <w:szCs w:val="21"/>
        </w:rPr>
        <w:t>箇所の介護福祉施設の新設及び10年間の維持管理費用</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b</m:t>
            </m:r>
          </m:sub>
        </m:sSub>
      </m:oMath>
      <w:r>
        <w:rPr>
          <w:rFonts w:hint="eastAsia"/>
          <w:szCs w:val="21"/>
        </w:rPr>
        <w:t>・</w:t>
      </w:r>
      <m:oMath>
        <m:r>
          <m:rPr>
            <m:sty m:val="p"/>
          </m:rPr>
          <w:rPr>
            <w:rFonts w:ascii="Cambria Math" w:hAnsi="Cambria Math"/>
            <w:szCs w:val="21"/>
          </w:rPr>
          <m:t>N</m:t>
        </m:r>
        <m:d>
          <m:dPr>
            <m:ctrlPr>
              <w:rPr>
                <w:rFonts w:ascii="Cambria Math" w:hAnsi="Cambria Math"/>
                <w:szCs w:val="21"/>
              </w:rPr>
            </m:ctrlPr>
          </m:dPr>
          <m:e>
            <m:r>
              <m:rPr>
                <m:sty m:val="p"/>
              </m:rPr>
              <w:rPr>
                <w:rFonts w:ascii="Cambria Math" w:hAnsi="Cambria Math"/>
                <w:szCs w:val="21"/>
              </w:rPr>
              <m:t>W</m:t>
            </m:r>
          </m:e>
        </m:d>
      </m:oMath>
      <w:r>
        <w:rPr>
          <w:rFonts w:hint="eastAsia"/>
          <w:szCs w:val="21"/>
        </w:rPr>
        <w:t>の財政支出合計を求める関数を本題における目的関数</w:t>
      </w:r>
      <m:oMath>
        <m:r>
          <m:rPr>
            <m:sty m:val="p"/>
          </m:rPr>
          <w:rPr>
            <w:rFonts w:ascii="Cambria Math" w:hAnsi="Cambria Math"/>
            <w:szCs w:val="21"/>
          </w:rPr>
          <m:t>E</m:t>
        </m:r>
        <m:d>
          <m:dPr>
            <m:ctrlPr>
              <w:rPr>
                <w:rFonts w:ascii="Cambria Math" w:hAnsi="Cambria Math"/>
                <w:szCs w:val="21"/>
              </w:rPr>
            </m:ctrlPr>
          </m:dPr>
          <m:e>
            <m:r>
              <m:rPr>
                <m:sty m:val="p"/>
              </m:rPr>
              <w:rPr>
                <w:rFonts w:ascii="Cambria Math" w:hAnsi="Cambria Math"/>
                <w:szCs w:val="21"/>
              </w:rPr>
              <m:t>W</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rFonts w:hint="eastAsia"/>
          <w:szCs w:val="21"/>
        </w:rPr>
        <w:t>とする。</w:t>
      </w:r>
    </w:p>
    <w:p w:rsidR="002B6132" w:rsidRDefault="002B6132" w:rsidP="002B6132">
      <w:pPr>
        <w:ind w:left="210" w:hangingChars="100" w:hanging="210"/>
        <w:jc w:val="left"/>
        <w:rPr>
          <w:szCs w:val="21"/>
        </w:rPr>
      </w:pPr>
      <w:r>
        <w:rPr>
          <w:rFonts w:hint="eastAsia"/>
          <w:szCs w:val="21"/>
        </w:rPr>
        <w:t xml:space="preserve">　　</w:t>
      </w:r>
      <m:oMath>
        <m:r>
          <m:rPr>
            <m:sty m:val="p"/>
          </m:rPr>
          <w:rPr>
            <w:rFonts w:ascii="Cambria Math" w:hAnsi="Cambria Math"/>
            <w:szCs w:val="21"/>
          </w:rPr>
          <m:t>E</m:t>
        </m:r>
        <m:d>
          <m:dPr>
            <m:ctrlPr>
              <w:rPr>
                <w:rFonts w:ascii="Cambria Math" w:hAnsi="Cambria Math"/>
                <w:szCs w:val="21"/>
              </w:rPr>
            </m:ctrlPr>
          </m:dPr>
          <m:e>
            <m:r>
              <m:rPr>
                <m:sty m:val="p"/>
              </m:rPr>
              <w:rPr>
                <w:rFonts w:ascii="Cambria Math" w:hAnsi="Cambria Math"/>
                <w:szCs w:val="21"/>
              </w:rPr>
              <m:t>W</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szCs w:val="21"/>
        </w:rPr>
        <w:t>=</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r>
        <w:rPr>
          <w:szCs w:val="21"/>
        </w:rPr>
        <w:t>+</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w</m:t>
            </m:r>
          </m:sub>
        </m:sSub>
        <m:d>
          <m:dPr>
            <m:ctrlPr>
              <w:rPr>
                <w:rFonts w:ascii="Cambria Math" w:hAnsi="Cambria Math"/>
                <w:szCs w:val="21"/>
              </w:rPr>
            </m:ctrlPr>
          </m:dPr>
          <m:e>
            <m:r>
              <m:rPr>
                <m:sty m:val="p"/>
              </m:rPr>
              <w:rPr>
                <w:rFonts w:ascii="Cambria Math" w:hAnsi="Cambria Math"/>
                <w:szCs w:val="21"/>
              </w:rPr>
              <m:t>W</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m</m:t>
                </m:r>
              </m:sub>
            </m:sSub>
          </m:e>
        </m:d>
      </m:oMath>
    </w:p>
    <w:p w:rsidR="002B6132" w:rsidRDefault="00110B20" w:rsidP="002B6132">
      <w:pPr>
        <w:ind w:leftChars="100" w:left="210" w:firstLineChars="600" w:firstLine="1260"/>
        <w:jc w:val="left"/>
        <w:rPr>
          <w:szCs w:val="21"/>
        </w:rPr>
      </w:pP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b</m:t>
            </m:r>
          </m:sub>
        </m:sSub>
      </m:oMath>
      <w:r w:rsidR="00671397">
        <w:rPr>
          <w:rFonts w:hint="eastAsia"/>
          <w:szCs w:val="21"/>
        </w:rPr>
        <w:t>・</w:t>
      </w:r>
      <m:oMath>
        <m:r>
          <m:rPr>
            <m:sty m:val="p"/>
          </m:rPr>
          <w:rPr>
            <w:rFonts w:ascii="Cambria Math" w:hAnsi="Cambria Math"/>
            <w:szCs w:val="21"/>
          </w:rPr>
          <m:t>N</m:t>
        </m:r>
        <m:d>
          <m:dPr>
            <m:ctrlPr>
              <w:rPr>
                <w:rFonts w:ascii="Cambria Math" w:hAnsi="Cambria Math"/>
                <w:szCs w:val="21"/>
              </w:rPr>
            </m:ctrlPr>
          </m:dPr>
          <m:e>
            <m:r>
              <m:rPr>
                <m:sty m:val="p"/>
              </m:rPr>
              <w:rPr>
                <w:rFonts w:ascii="Cambria Math" w:hAnsi="Cambria Math"/>
                <w:szCs w:val="21"/>
              </w:rPr>
              <m:t>W</m:t>
            </m:r>
          </m:e>
        </m:d>
      </m:oMath>
      <w:r w:rsidR="002B6132">
        <w:rPr>
          <w:rFonts w:hint="eastAsia"/>
          <w:szCs w:val="21"/>
        </w:rPr>
        <w:t xml:space="preserve">  </w:t>
      </w:r>
      <w:r w:rsidR="002B6132">
        <w:rPr>
          <w:szCs w:val="21"/>
        </w:rPr>
        <w:t xml:space="preserve">           (4)</w:t>
      </w:r>
      <w:r w:rsidR="002B6132">
        <w:rPr>
          <w:rFonts w:hint="eastAsia"/>
          <w:szCs w:val="21"/>
        </w:rPr>
        <w:t xml:space="preserve">     </w:t>
      </w:r>
    </w:p>
    <w:p w:rsidR="002B6132" w:rsidRDefault="002B6132" w:rsidP="002B6132">
      <w:pPr>
        <w:jc w:val="left"/>
        <w:rPr>
          <w:szCs w:val="21"/>
        </w:rPr>
      </w:pPr>
      <w:r>
        <w:rPr>
          <w:rFonts w:hint="eastAsia"/>
          <w:szCs w:val="21"/>
        </w:rPr>
        <w:t>【制約条件】</w:t>
      </w:r>
    </w:p>
    <w:p w:rsidR="002B6132" w:rsidRDefault="002B6132" w:rsidP="002B6132">
      <w:pPr>
        <w:jc w:val="left"/>
        <w:rPr>
          <w:szCs w:val="21"/>
        </w:rPr>
      </w:pPr>
      <w:r>
        <w:rPr>
          <w:rFonts w:hint="eastAsia"/>
          <w:szCs w:val="21"/>
        </w:rPr>
        <w:t>・介護福祉施設までの移動時間は</w:t>
      </w:r>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max</m:t>
            </m:r>
          </m:sub>
        </m:sSub>
      </m:oMath>
      <w:r>
        <w:rPr>
          <w:rFonts w:hint="eastAsia"/>
          <w:szCs w:val="21"/>
        </w:rPr>
        <w:t>分を上限とする。</w:t>
      </w:r>
    </w:p>
    <w:p w:rsidR="002B6132" w:rsidRDefault="002B6132" w:rsidP="002B6132">
      <w:pPr>
        <w:jc w:val="left"/>
        <w:rPr>
          <w:szCs w:val="21"/>
        </w:rPr>
      </w:pPr>
      <w:r>
        <w:rPr>
          <w:rFonts w:hint="eastAsia"/>
          <w:szCs w:val="21"/>
        </w:rPr>
        <w:t>・1施設当たりの受け入れ高齢者数は</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max</m:t>
            </m:r>
          </m:sub>
        </m:sSub>
      </m:oMath>
      <w:r>
        <w:rPr>
          <w:rFonts w:hint="eastAsia"/>
          <w:szCs w:val="21"/>
        </w:rPr>
        <w:t>人を上限とする。</w:t>
      </w:r>
    </w:p>
    <w:p w:rsidR="002B6132" w:rsidRPr="0040250A" w:rsidRDefault="002B6132" w:rsidP="002B6132">
      <w:pPr>
        <w:jc w:val="left"/>
        <w:rPr>
          <w:b/>
          <w:szCs w:val="21"/>
        </w:rPr>
      </w:pPr>
    </w:p>
    <w:p w:rsidR="00993A62" w:rsidRPr="009A0305" w:rsidRDefault="009A0305" w:rsidP="009A0305">
      <w:pPr>
        <w:jc w:val="left"/>
        <w:rPr>
          <w:b/>
          <w:szCs w:val="21"/>
        </w:rPr>
      </w:pPr>
      <w:r w:rsidRPr="009A0305">
        <w:rPr>
          <w:rFonts w:hint="eastAsia"/>
          <w:b/>
          <w:szCs w:val="21"/>
        </w:rPr>
        <w:t>(3</w:t>
      </w:r>
      <w:r>
        <w:rPr>
          <w:rFonts w:hint="eastAsia"/>
          <w:b/>
          <w:szCs w:val="21"/>
        </w:rPr>
        <w:t xml:space="preserve">)　</w:t>
      </w:r>
      <w:r w:rsidR="00993A62" w:rsidRPr="009A0305">
        <w:rPr>
          <w:rFonts w:hint="eastAsia"/>
          <w:b/>
          <w:szCs w:val="21"/>
        </w:rPr>
        <w:t>計算量</w:t>
      </w:r>
    </w:p>
    <w:p w:rsidR="009A0305" w:rsidRDefault="009A0305" w:rsidP="009A0305">
      <w:r>
        <w:rPr>
          <w:rFonts w:hint="eastAsia"/>
        </w:rPr>
        <w:t xml:space="preserve">　政策手段パッケージ探索問題の最適解を求めるためには、すべての政策手段の組み合わせに関して制約条件の充足を確認するとともに、財政支出を算出しなければならない。前節で示した高齢者介護福祉サービス問題の解探索手順を図-</w:t>
      </w:r>
      <w:r>
        <w:t>2</w:t>
      </w:r>
      <w:r>
        <w:rPr>
          <w:rFonts w:hint="eastAsia"/>
        </w:rPr>
        <w:t>に示す。ここで、政策手段集合P</w:t>
      </w:r>
      <w:r>
        <w:t>EST</w:t>
      </w:r>
      <w:r>
        <w:rPr>
          <w:rFonts w:hint="eastAsia"/>
        </w:rPr>
        <w:t>は、施設配置の集合W</w:t>
      </w:r>
      <w:r>
        <w:t>SET</w:t>
      </w:r>
      <w:r>
        <w:rPr>
          <w:rFonts w:hint="eastAsia"/>
        </w:rPr>
        <w:t>と移転補助金額の集合C</w:t>
      </w:r>
      <w:r>
        <w:t>MEST</w:t>
      </w:r>
      <w:r>
        <w:rPr>
          <w:rFonts w:hint="eastAsia"/>
        </w:rPr>
        <w:t>の直積であり、</w:t>
      </w:r>
      <w:proofErr w:type="spellStart"/>
      <w:r>
        <w:rPr>
          <w:rFonts w:hint="eastAsia"/>
        </w:rPr>
        <w:t>N</w:t>
      </w:r>
      <w:r>
        <w:t>cm</w:t>
      </w:r>
      <w:proofErr w:type="spellEnd"/>
      <w:r>
        <w:rPr>
          <w:rFonts w:hint="eastAsia"/>
        </w:rPr>
        <w:t>は移転補助金額の種類数を表す。</w:t>
      </w:r>
    </w:p>
    <w:p w:rsidR="009A0305" w:rsidRDefault="009A0305" w:rsidP="009A0305">
      <w:r>
        <w:rPr>
          <w:rFonts w:hint="eastAsia"/>
        </w:rPr>
        <w:t xml:space="preserve">　W</w:t>
      </w:r>
      <w:r>
        <w:t>SET={Wi | 1&lt;</w:t>
      </w:r>
      <w:proofErr w:type="spellStart"/>
      <w:r>
        <w:t>i</w:t>
      </w:r>
      <w:proofErr w:type="spellEnd"/>
      <w:r>
        <w:t>&lt;2XY}               (5)</w:t>
      </w:r>
    </w:p>
    <w:p w:rsidR="009A0305" w:rsidRDefault="009A0305" w:rsidP="009A0305">
      <w:pPr>
        <w:ind w:firstLineChars="100" w:firstLine="210"/>
      </w:pPr>
      <w:r>
        <w:t>CMSET=                            (6)</w:t>
      </w:r>
    </w:p>
    <w:p w:rsidR="009A0305" w:rsidRDefault="009A0305" w:rsidP="009A0305">
      <w:pPr>
        <w:ind w:firstLineChars="100" w:firstLine="210"/>
      </w:pPr>
    </w:p>
    <w:p w:rsidR="009A0305" w:rsidRDefault="009A0305" w:rsidP="009A0305">
      <w:pPr>
        <w:ind w:firstLineChars="100" w:firstLine="210"/>
      </w:pPr>
      <w:r>
        <w:rPr>
          <w:rFonts w:hint="eastAsia"/>
        </w:rPr>
        <w:t xml:space="preserve"> </w:t>
      </w:r>
      <w:r>
        <w:t xml:space="preserve">                                    (7)</w:t>
      </w:r>
    </w:p>
    <w:p w:rsidR="009A0305" w:rsidRPr="009A0305" w:rsidRDefault="009A0305" w:rsidP="009A0305">
      <w:pPr>
        <w:ind w:firstLineChars="100" w:firstLine="210"/>
      </w:pPr>
      <w:r>
        <w:rPr>
          <w:rFonts w:hint="eastAsia"/>
        </w:rPr>
        <w:t xml:space="preserve">　移転補助金を0円から1</w:t>
      </w:r>
      <w:r>
        <w:t>00</w:t>
      </w:r>
      <w:r>
        <w:rPr>
          <w:rFonts w:hint="eastAsia"/>
        </w:rPr>
        <w:t>万円までに5万円ごとに変化させると、移転補助金額の種類数</w:t>
      </w:r>
      <w:proofErr w:type="spellStart"/>
      <w:r>
        <w:rPr>
          <w:rFonts w:hint="eastAsia"/>
        </w:rPr>
        <w:t>N</w:t>
      </w:r>
      <w:r>
        <w:t>cm</w:t>
      </w:r>
      <w:proofErr w:type="spellEnd"/>
      <w:r>
        <w:rPr>
          <w:rFonts w:hint="eastAsia"/>
        </w:rPr>
        <w:t>は21通り、介護福祉施設の配置の数</w:t>
      </w:r>
      <w:r w:rsidR="00880FB0">
        <w:rPr>
          <w:rFonts w:hint="eastAsia"/>
        </w:rPr>
        <w:t>|</w:t>
      </w:r>
      <w:r w:rsidR="00880FB0">
        <w:t>WSET|</w:t>
      </w:r>
      <w:r w:rsidR="00880FB0">
        <w:rPr>
          <w:rFonts w:hint="eastAsia"/>
        </w:rPr>
        <w:t>は2のX</w:t>
      </w:r>
      <w:r w:rsidR="00880FB0">
        <w:t>Y</w:t>
      </w:r>
      <w:r w:rsidR="00880FB0">
        <w:rPr>
          <w:rFonts w:hint="eastAsia"/>
        </w:rPr>
        <w:t>乗通りなので、政策手段の組み合わせは21×２の</w:t>
      </w:r>
      <w:r w:rsidR="00880FB0">
        <w:t>XY</w:t>
      </w:r>
      <w:r w:rsidR="00880FB0">
        <w:rPr>
          <w:rFonts w:hint="eastAsia"/>
        </w:rPr>
        <w:t>乗通りとなる。X</w:t>
      </w:r>
      <w:r w:rsidR="00880FB0">
        <w:t>=5</w:t>
      </w:r>
      <w:r w:rsidR="00880FB0">
        <w:rPr>
          <w:rFonts w:hint="eastAsia"/>
        </w:rPr>
        <w:t>、Y=5と小さな値を設定しても、7</w:t>
      </w:r>
      <w:r w:rsidR="00880FB0">
        <w:t>04,643,072</w:t>
      </w:r>
      <w:r w:rsidR="00880FB0">
        <w:rPr>
          <w:rFonts w:hint="eastAsia"/>
        </w:rPr>
        <w:t>通りと膨大な組み合わせとなる。財政支出の算出にはマイクロシミュレーションの実行が必要になるので、１つの政策手段の組み合わせに関する処理にもある程度の時間を要する。実問題への適応を視野に入れると、</w:t>
      </w:r>
      <w:r w:rsidR="00880FB0">
        <w:rPr>
          <w:rFonts w:hint="eastAsia"/>
        </w:rPr>
        <w:lastRenderedPageBreak/>
        <w:t>全探索による解法は現実的ではなく、実時間での探索を可能とする手法が必要不可欠であるといえる。</w:t>
      </w:r>
    </w:p>
    <w:p w:rsidR="00D16D02" w:rsidRDefault="00D16D02" w:rsidP="00B63C58">
      <w:pPr>
        <w:jc w:val="left"/>
        <w:rPr>
          <w:szCs w:val="21"/>
        </w:rPr>
      </w:pPr>
      <w:r>
        <w:rPr>
          <w:noProof/>
          <w:szCs w:val="21"/>
        </w:rPr>
        <w:drawing>
          <wp:anchor distT="0" distB="0" distL="114300" distR="114300" simplePos="0" relativeHeight="251659264" behindDoc="0" locked="0" layoutInCell="1" allowOverlap="1" wp14:anchorId="39BEF4E6">
            <wp:simplePos x="0" y="0"/>
            <wp:positionH relativeFrom="column">
              <wp:posOffset>7620</wp:posOffset>
            </wp:positionH>
            <wp:positionV relativeFrom="paragraph">
              <wp:posOffset>57150</wp:posOffset>
            </wp:positionV>
            <wp:extent cx="2308860" cy="425894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4258945"/>
                    </a:xfrm>
                    <a:prstGeom prst="rect">
                      <a:avLst/>
                    </a:prstGeom>
                    <a:noFill/>
                    <a:ln>
                      <a:noFill/>
                    </a:ln>
                  </pic:spPr>
                </pic:pic>
              </a:graphicData>
            </a:graphic>
          </wp:anchor>
        </w:drawing>
      </w:r>
      <w:r w:rsidR="002B6132">
        <w:rPr>
          <w:rFonts w:hint="eastAsia"/>
          <w:szCs w:val="21"/>
        </w:rPr>
        <w:t xml:space="preserve">             </w:t>
      </w: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Default="00D16D02" w:rsidP="00B63C58">
      <w:pPr>
        <w:jc w:val="left"/>
        <w:rPr>
          <w:szCs w:val="21"/>
        </w:rPr>
      </w:pPr>
    </w:p>
    <w:p w:rsidR="00D16D02" w:rsidRPr="00D16D02" w:rsidRDefault="00D16D02" w:rsidP="00D16D02">
      <w:pPr>
        <w:ind w:firstLineChars="800" w:firstLine="1648"/>
        <w:rPr>
          <w:b/>
          <w:szCs w:val="21"/>
        </w:rPr>
      </w:pPr>
      <w:r w:rsidRPr="00D16D02">
        <w:rPr>
          <w:rFonts w:hint="eastAsia"/>
          <w:b/>
          <w:szCs w:val="21"/>
        </w:rPr>
        <w:t>図-</w:t>
      </w:r>
      <w:r w:rsidRPr="00D16D02">
        <w:rPr>
          <w:b/>
          <w:szCs w:val="21"/>
        </w:rPr>
        <w:t>2</w:t>
      </w:r>
    </w:p>
    <w:p w:rsidR="00D16D02" w:rsidRDefault="00D16D02" w:rsidP="00B63C58">
      <w:pPr>
        <w:jc w:val="left"/>
        <w:rPr>
          <w:szCs w:val="21"/>
        </w:rPr>
      </w:pPr>
      <w:r>
        <w:rPr>
          <w:rFonts w:hint="eastAsia"/>
          <w:szCs w:val="21"/>
        </w:rPr>
        <w:t>高齢者介護福祉サービス問題の解探索手順</w:t>
      </w:r>
    </w:p>
    <w:p w:rsidR="00D16D02" w:rsidRDefault="00D16D02" w:rsidP="00B63C58">
      <w:pPr>
        <w:jc w:val="left"/>
        <w:rPr>
          <w:szCs w:val="21"/>
        </w:rPr>
      </w:pPr>
    </w:p>
    <w:p w:rsidR="001226D4" w:rsidRPr="00B63C58" w:rsidRDefault="002B6132" w:rsidP="00B63C58">
      <w:pPr>
        <w:jc w:val="left"/>
        <w:rPr>
          <w:szCs w:val="21"/>
        </w:rPr>
      </w:pPr>
      <w:r>
        <w:rPr>
          <w:rFonts w:hint="eastAsia"/>
          <w:szCs w:val="21"/>
        </w:rPr>
        <w:t xml:space="preserve">          </w:t>
      </w:r>
    </w:p>
    <w:sectPr w:rsidR="001226D4" w:rsidRPr="00B63C58" w:rsidSect="001226D4">
      <w:type w:val="continuous"/>
      <w:pgSz w:w="11906" w:h="16838"/>
      <w:pgMar w:top="1134" w:right="1134" w:bottom="1134"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B20" w:rsidRDefault="00110B20" w:rsidP="005A6C54">
      <w:r>
        <w:separator/>
      </w:r>
    </w:p>
  </w:endnote>
  <w:endnote w:type="continuationSeparator" w:id="0">
    <w:p w:rsidR="00110B20" w:rsidRDefault="00110B20" w:rsidP="005A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744774"/>
      <w:docPartObj>
        <w:docPartGallery w:val="Page Numbers (Bottom of Page)"/>
        <w:docPartUnique/>
      </w:docPartObj>
    </w:sdtPr>
    <w:sdtEndPr/>
    <w:sdtContent>
      <w:p w:rsidR="0040250A" w:rsidRDefault="0040250A">
        <w:pPr>
          <w:pStyle w:val="a5"/>
          <w:jc w:val="center"/>
        </w:pPr>
        <w:r>
          <w:fldChar w:fldCharType="begin"/>
        </w:r>
        <w:r>
          <w:instrText>PAGE   \* MERGEFORMAT</w:instrText>
        </w:r>
        <w:r>
          <w:fldChar w:fldCharType="separate"/>
        </w:r>
        <w:r>
          <w:rPr>
            <w:lang w:val="ja-JP"/>
          </w:rPr>
          <w:t>2</w:t>
        </w:r>
        <w:r>
          <w:fldChar w:fldCharType="end"/>
        </w:r>
      </w:p>
    </w:sdtContent>
  </w:sdt>
  <w:p w:rsidR="0040250A" w:rsidRDefault="004025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B20" w:rsidRDefault="00110B20" w:rsidP="005A6C54">
      <w:r>
        <w:separator/>
      </w:r>
    </w:p>
  </w:footnote>
  <w:footnote w:type="continuationSeparator" w:id="0">
    <w:p w:rsidR="00110B20" w:rsidRDefault="00110B20" w:rsidP="005A6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5789"/>
    <w:multiLevelType w:val="hybridMultilevel"/>
    <w:tmpl w:val="8690A7F0"/>
    <w:lvl w:ilvl="0" w:tplc="CAB64AC0">
      <w:start w:val="1"/>
      <w:numFmt w:val="decimalFullWidth"/>
      <w:lvlText w:val="%1．"/>
      <w:lvlJc w:val="left"/>
      <w:pPr>
        <w:ind w:left="432" w:hanging="432"/>
      </w:pPr>
      <w:rPr>
        <w:rFonts w:hint="default"/>
      </w:rPr>
    </w:lvl>
    <w:lvl w:ilvl="1" w:tplc="4F9EAF5A">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7F"/>
    <w:rsid w:val="000C6835"/>
    <w:rsid w:val="00110B20"/>
    <w:rsid w:val="001226D4"/>
    <w:rsid w:val="001A3369"/>
    <w:rsid w:val="00221299"/>
    <w:rsid w:val="00224D08"/>
    <w:rsid w:val="002B6132"/>
    <w:rsid w:val="00326392"/>
    <w:rsid w:val="00371500"/>
    <w:rsid w:val="00381A4D"/>
    <w:rsid w:val="003834CF"/>
    <w:rsid w:val="003A365D"/>
    <w:rsid w:val="0040250A"/>
    <w:rsid w:val="0041164B"/>
    <w:rsid w:val="00487BC5"/>
    <w:rsid w:val="004E7A22"/>
    <w:rsid w:val="0057600A"/>
    <w:rsid w:val="0059455E"/>
    <w:rsid w:val="005A6C54"/>
    <w:rsid w:val="00671397"/>
    <w:rsid w:val="006938B4"/>
    <w:rsid w:val="006B032A"/>
    <w:rsid w:val="006F7E98"/>
    <w:rsid w:val="00732212"/>
    <w:rsid w:val="00775CA4"/>
    <w:rsid w:val="007F337F"/>
    <w:rsid w:val="00880FB0"/>
    <w:rsid w:val="008C0527"/>
    <w:rsid w:val="008D6417"/>
    <w:rsid w:val="008D78D0"/>
    <w:rsid w:val="00913FD0"/>
    <w:rsid w:val="00947950"/>
    <w:rsid w:val="00993A62"/>
    <w:rsid w:val="009A0305"/>
    <w:rsid w:val="00A642AB"/>
    <w:rsid w:val="00B63C58"/>
    <w:rsid w:val="00C06F57"/>
    <w:rsid w:val="00C20259"/>
    <w:rsid w:val="00D16D02"/>
    <w:rsid w:val="00D2427E"/>
    <w:rsid w:val="00D524A8"/>
    <w:rsid w:val="00E268FA"/>
    <w:rsid w:val="00EA4316"/>
    <w:rsid w:val="00ED2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A0CF9B2-3658-4845-ABBE-67E496A5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C54"/>
    <w:pPr>
      <w:tabs>
        <w:tab w:val="center" w:pos="4252"/>
        <w:tab w:val="right" w:pos="8504"/>
      </w:tabs>
      <w:snapToGrid w:val="0"/>
    </w:pPr>
  </w:style>
  <w:style w:type="character" w:customStyle="1" w:styleId="a4">
    <w:name w:val="ヘッダー (文字)"/>
    <w:basedOn w:val="a0"/>
    <w:link w:val="a3"/>
    <w:uiPriority w:val="99"/>
    <w:rsid w:val="005A6C54"/>
  </w:style>
  <w:style w:type="paragraph" w:styleId="a5">
    <w:name w:val="footer"/>
    <w:basedOn w:val="a"/>
    <w:link w:val="a6"/>
    <w:uiPriority w:val="99"/>
    <w:unhideWhenUsed/>
    <w:rsid w:val="005A6C54"/>
    <w:pPr>
      <w:tabs>
        <w:tab w:val="center" w:pos="4252"/>
        <w:tab w:val="right" w:pos="8504"/>
      </w:tabs>
      <w:snapToGrid w:val="0"/>
    </w:pPr>
  </w:style>
  <w:style w:type="character" w:customStyle="1" w:styleId="a6">
    <w:name w:val="フッター (文字)"/>
    <w:basedOn w:val="a0"/>
    <w:link w:val="a5"/>
    <w:uiPriority w:val="99"/>
    <w:rsid w:val="005A6C54"/>
  </w:style>
  <w:style w:type="paragraph" w:styleId="a7">
    <w:name w:val="List Paragraph"/>
    <w:basedOn w:val="a"/>
    <w:uiPriority w:val="34"/>
    <w:qFormat/>
    <w:rsid w:val="001226D4"/>
    <w:pPr>
      <w:ind w:leftChars="400" w:left="840"/>
    </w:pPr>
  </w:style>
  <w:style w:type="character" w:styleId="a8">
    <w:name w:val="Placeholder Text"/>
    <w:basedOn w:val="a0"/>
    <w:uiPriority w:val="99"/>
    <w:semiHidden/>
    <w:rsid w:val="00E268FA"/>
    <w:rPr>
      <w:color w:val="808080"/>
    </w:rPr>
  </w:style>
  <w:style w:type="paragraph" w:styleId="a9">
    <w:name w:val="Balloon Text"/>
    <w:basedOn w:val="a"/>
    <w:link w:val="aa"/>
    <w:uiPriority w:val="99"/>
    <w:semiHidden/>
    <w:unhideWhenUsed/>
    <w:rsid w:val="008D6417"/>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D641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西田 凌</dc:creator>
  <cp:keywords/>
  <dc:description/>
  <cp:lastModifiedBy>西田 凌</cp:lastModifiedBy>
  <cp:revision>2</cp:revision>
  <dcterms:created xsi:type="dcterms:W3CDTF">2019-09-24T04:43:00Z</dcterms:created>
  <dcterms:modified xsi:type="dcterms:W3CDTF">2019-09-24T04:43:00Z</dcterms:modified>
</cp:coreProperties>
</file>