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(rev. 5)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8–9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 — design baseline</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 (design baseline)</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 as shipped (+9.2 dB measured at the design cavity length)</w:t>
            </w:r>
          </w:p>
        </w:tc>
        <w:tc>
          <w:tcPr>
            <w:tcW w:type="dxa" w:w="3402"/>
          </w:tcPr>
          <w:p>
            <w:r>
              <w:rPr>
                <w:b w:val="0"/>
                <w:i w:val="0"/>
                <w:sz w:val="19"/>
              </w:rPr>
              <w:t>against 2.17 dB per-gate loss at 300 K (on the CW/pulse difference, see §4)</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t xml:space="preserve">Pass 3 — regenerative gain, computed twice. An analytic cavity transfer and an independent nonlinear shallow-water solver must agree — and do, to within a documented numerical artifact that shrinks as the grid is refined, a claim since verified by measurement: the artifact falls from 15 % to 8 % of threshold between the released grid and its refinement, exactly as the community’s exact-operator analysis predicted.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r>
        <w:t>That discipline is already earning its keep. Within the project’s first fortnight the community pipeline promoted twelve technical notes that audited the models’ own headline numbers: an apparent cross-chain noise-figure “agreement” was shown to be one formula at two temperatures; roughly a decibel of the CW-vs-pulsed gain difference was traced to a named solver artifact (the streaming test drove a mistuned, zero-drift-length cavity); an exact linearized operator of the released solver then derived the remaining numerical structure from first principles and pre-registered corrected values with falsification bands. The predictions were subsequently run: all four were confirmed — the retuned cavity measures +9.2 dB per pulse (recovering +1.4 dB at identical bias), the grid-refinement behaviour matched to better than a part in a thousand, and the two earlier, superseded prediction bands would have been falsified, which the record states plainly. The audit then reached deeper: the “tens-of-percent” kinetic uncertainty sitting under every gain figure was converted into a signed band (−0.95 dB per cell at 353 K), which reads the design’s thermal margin down from 23 % to roughly 4 % − and Part II’s mesoscopic thresholds were re-attributed away from its quantum noise model, the qubit no-go surviving on other grounds. Two review rejections along the way became permanent standards rules. None of this weakens the design; it is what self-correction looks like in public.</w:t>
      </w:r>
    </w:p>
    <w:p>
      <w:pPr>
        <w:pStyle w:val="Heading1"/>
      </w:pPr>
      <w:r>
        <w:t>5.  What quantum mechanics says (Part II)</w:t>
      </w:r>
    </w:p>
    <w:p>
      <w:r>
        <w:rPr>
          <w:b w:val="0"/>
          <w:i w:val="0"/>
        </w:rPr>
        <w:t>Part II asks a question most architecture papers never reach: what happens when the machine’s pulses are treated as what they are — quantum fields? Quantizing the Part-I cell shows a logic pulse is a mesoscopic object: one plasmon is a 0.16% density swing, the cell’s linear range ends near 38 plasmons referred to the launch/drive plane (22–51 across the CW and pulse observables), and the full logic rail holds only about 3,800 — a figure anchored at neither plane. Quantum noise is therefore a design input, not a footnote. Two results follow.</w:t>
      </w:r>
      <w:r>
        <w:rPr>
          <w:b/>
          <w:i w:val="0"/>
        </w:rPr>
      </w:r>
      <w:r>
        <w:rPr>
          <w:b w:val="0"/>
          <w:i w:val="0"/>
        </w:rPr>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reaches ~5 × 10⁻⁷ at room temperature at one-sixteenth throughput in the published bookkeeping — an ideal per-slot sampler, not a physical accumulator: no realizable topology reproduces that column, and the charge-memory reading of it has been withdrawn.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(https://github.com/ryoji-info/FableComputer/blob/main/papers/Fable-Computer-Part-I.pdf for Part I v6.0, https://github.com/ryoji-info/FableComputer/blob/main/papers/Fable-Computer-Part-II.pdf for Part II v2.0),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 The repository also operates a fully disclosed crew of three AI research agents — the Agent Lab — whose public analyses — posted roughly daily, as computing resources allow — and recorded 2-of-3 votes produced the note collection’s first entries (see the companion Community Guidelines).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(v6.0): https://github.com/ryoji-info/FableComputer/blob/main/papers/Fable-Computer-Part-I.pdf  ·  Part II (v2.0): https://github.com/ryoji-info/FableComputer/blob/main/papers/Fable-Computer-Part-II.pdf</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Read the community's first findings</w:t>
            </w:r>
          </w:p>
        </w:tc>
        <w:tc>
          <w:tcPr>
            <w:tcW w:type="dxa" w:w="5783"/>
          </w:tcPr>
          <w:p>
            <w:r>
              <w:t>notes/ — twelve promoted analyses, from the resolution note in which four pre-registered predictions were run and all confirmed, to a signed kinetic band on every gain figure</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p>
      <w:r>
        <w:t>Document revision note (rev. 3, July 2026). Updated to reflect the community record through 15 July: the note collection grew from eight to twelve promoted analyses, and both manuscripts were revised accordingly and re-archived under new version DOIs (Part I v5.5, Part II v1.6). The substantive additions: the unsigned “tens-of-percent” kinetic uncertainty that sat under every gain figure is now a signed band (−0.95 dB per cell at 353 K, range −1.5 to −0.3 dB), which in turn reads the design’s thermal margin down from 23 % to roughly 4 %; single-particle Landau damping at the operating point is shown to be kinematically excluded rather than merely avoided, the chain’s one demonstrated kinetic result; and Part II’s 38-plasmon knee and 3,833-plasmon rail are re-attributed to hydrodynamic mode quantization applied to classical amplitudes rather than to the quantum noise model — the plasmonic-qubit no-go survives, resting on the Kerr shortfall and geometry. Part II v1.6 then withdrew a design balance outright: the decoder’s “static threshold band” was a deterministic transfer booked as random noise, so the term is re-derived around an open hardware parameter and the published error column is re-labelled a sensitivity case — the no-go, again, unaffected. Sources: notes/ and REPLICATIONS.md in the repository.</w:t>
      </w:r>
    </w:p>
    <w:p>
      <w:r>
        <w:t>Document revision note (rev. 4, July 2026). Corrected against the community record through 26 July, per notes/2026-07-26-record-audit-ten-findings.md (promoted 3-of-3). Three claims in rev. 3 were retired by the record and are corrected above. (i) The 0.25 THz symbol rate and the 2.5 × 10¹¹ additions/s throughput are the design baseline only: with per-slot flushing required against cavity ring-down, fan-out-2 logic does not close at a 4-ps slot at any de-Q rate, and the defensible in-model operating point for F = 2 logic is ≈0.1 THz (notes/2026-07-23-reset-switch-adjudication.md). (ii) The 38-plasmon knee is a launch/drive-plane quantity, band 22–51; the ≈3,800-plasmon rail is anchored at neither plane (notes/2026-07-17-what-the-38-quanta-knee-denominates-after-the-july-plane-aud.md). (iii) The 16-slot averaging column is ideal-per-slot-sampler bookkeeping rather than an achieved result — no physical accumulator reproduces it, and the charge-memory reading was withdrawn by Part II v1.7 (notes/2026-07-16-no-physical-avg16-accumulator.md). Version references now read Part I v5.6 and Part II v1.7, the manuscripts shipped in papers/; corrections the deposited PDFs do not yet carry are listed in papers/ERRATA.md. The rev. 3 note above is left as written.</w:t>
      </w:r>
    </w:p>
    <w:p>
      <w:r>
        <w:t>Document revision note (rev. 5, July 2026). Version references updated to the v6.0 / v2.0 reader-focused revision of the manuscripts, which removed in-document version statements and moved the complete revision history to papers/REVISION-HISTORY.md. The rev. 3 and rev. 4 notes above are left as written.</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